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6A" w:rsidRDefault="00EB1B6A"/>
    <w:p w:rsidR="00EB1B6A" w:rsidRDefault="00EB1B6A"/>
    <w:tbl>
      <w:tblPr>
        <w:tblW w:w="10137" w:type="dxa"/>
        <w:tblCellSpacing w:w="0" w:type="dxa"/>
        <w:tblInd w:w="-56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"/>
        <w:gridCol w:w="376"/>
        <w:gridCol w:w="9712"/>
      </w:tblGrid>
      <w:tr w:rsidR="00CE693B" w:rsidTr="00CE693B">
        <w:trPr>
          <w:tblCellSpacing w:w="0" w:type="dxa"/>
        </w:trPr>
        <w:tc>
          <w:tcPr>
            <w:tcW w:w="53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3B" w:rsidRDefault="00CE693B"/>
        </w:tc>
        <w:tc>
          <w:tcPr>
            <w:tcW w:w="47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71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/>
            </w:tblPr>
            <w:tblGrid>
              <w:gridCol w:w="4927"/>
              <w:gridCol w:w="4785"/>
            </w:tblGrid>
            <w:tr w:rsidR="00CE693B" w:rsidRPr="00C61B29" w:rsidTr="00C66FAB">
              <w:trPr>
                <w:tblCellSpacing w:w="0" w:type="dxa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93B" w:rsidRPr="00C61B29" w:rsidRDefault="00CE693B" w:rsidP="00C66FAB">
                  <w:pPr>
                    <w:pStyle w:val="a6"/>
                    <w:spacing w:after="0"/>
                    <w:jc w:val="center"/>
                  </w:pPr>
                </w:p>
                <w:p w:rsidR="00CE693B" w:rsidRPr="00C61B29" w:rsidRDefault="00CE693B" w:rsidP="00C66FAB">
                  <w:pPr>
                    <w:pStyle w:val="1"/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:rsidR="00CE693B" w:rsidRPr="00C61B29" w:rsidRDefault="00CE693B" w:rsidP="00C66FAB">
                  <w:pPr>
                    <w:shd w:val="clear" w:color="auto" w:fill="FFFFFF"/>
                    <w:rPr>
                      <w:b/>
                      <w:sz w:val="28"/>
                      <w:szCs w:val="28"/>
                    </w:rPr>
                  </w:pPr>
                </w:p>
                <w:p w:rsidR="00CE693B" w:rsidRPr="00C61B29" w:rsidRDefault="00CE693B" w:rsidP="00C66FAB">
                  <w:pPr>
                    <w:pStyle w:val="a7"/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693B" w:rsidRDefault="00CE693B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Default="00971F58" w:rsidP="00971F58">
                  <w:pPr>
                    <w:pStyle w:val="a6"/>
                    <w:spacing w:after="0"/>
                    <w:jc w:val="right"/>
                  </w:pPr>
                </w:p>
                <w:p w:rsidR="00971F58" w:rsidRPr="00C61B29" w:rsidRDefault="00971F58" w:rsidP="00971F58">
                  <w:pPr>
                    <w:pStyle w:val="a6"/>
                    <w:spacing w:after="0"/>
                    <w:jc w:val="right"/>
                  </w:pPr>
                </w:p>
              </w:tc>
            </w:tr>
          </w:tbl>
          <w:p w:rsidR="00CE693B" w:rsidRDefault="00CE693B"/>
        </w:tc>
      </w:tr>
      <w:tr w:rsidR="00EB1B6A" w:rsidRPr="005674C1" w:rsidTr="00CE693B">
        <w:tblPrEx>
          <w:tblLook w:val="0000"/>
        </w:tblPrEx>
        <w:trPr>
          <w:gridBefore w:val="1"/>
          <w:gridAfter w:val="1"/>
          <w:wBefore w:w="567" w:type="dxa"/>
          <w:wAfter w:w="4785" w:type="dxa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B6A" w:rsidRDefault="00EB1B6A" w:rsidP="00021FAF">
            <w:pPr>
              <w:pStyle w:val="a6"/>
            </w:pPr>
          </w:p>
        </w:tc>
      </w:tr>
      <w:tr w:rsidR="00CE63EE" w:rsidRPr="005674C1" w:rsidTr="00CE693B">
        <w:tblPrEx>
          <w:tblLook w:val="0000"/>
        </w:tblPrEx>
        <w:trPr>
          <w:gridBefore w:val="1"/>
          <w:wBefore w:w="567" w:type="dxa"/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  <w:spacing w:after="0"/>
              <w:jc w:val="center"/>
            </w:pPr>
          </w:p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023DD1">
            <w:pPr>
              <w:pStyle w:val="a6"/>
              <w:jc w:val="center"/>
            </w:pPr>
          </w:p>
        </w:tc>
      </w:tr>
    </w:tbl>
    <w:p w:rsidR="00CE63EE" w:rsidRDefault="00CE63EE" w:rsidP="00E85700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0F12F2">
      <w:pPr>
        <w:pStyle w:val="ConsPlusTitle"/>
        <w:jc w:val="center"/>
        <w:rPr>
          <w:sz w:val="22"/>
        </w:rPr>
      </w:pPr>
      <w:r>
        <w:rPr>
          <w:sz w:val="22"/>
        </w:rPr>
        <w:t>ДОПОЛНИТЕЛЬНАЯ ПРОФЕССИОНАЛЬНАЯ ПРОГРАММА</w:t>
      </w:r>
    </w:p>
    <w:p w:rsidR="000F12F2" w:rsidRDefault="000F12F2" w:rsidP="000F12F2">
      <w:pPr>
        <w:pStyle w:val="ConsPlusTitle"/>
        <w:jc w:val="center"/>
      </w:pPr>
    </w:p>
    <w:p w:rsidR="00CE63EE" w:rsidRPr="000F12F2" w:rsidRDefault="000F12F2" w:rsidP="000F12F2">
      <w:pPr>
        <w:pStyle w:val="ConsPlusTitle"/>
        <w:jc w:val="center"/>
        <w:rPr>
          <w:rStyle w:val="a5"/>
          <w:b/>
          <w:bCs w:val="0"/>
        </w:rPr>
      </w:pPr>
      <w:r>
        <w:rPr>
          <w:sz w:val="22"/>
        </w:rPr>
        <w:t>«</w:t>
      </w:r>
      <w:r w:rsidR="000734ED" w:rsidRPr="00CE693B">
        <w:rPr>
          <w:rFonts w:ascii="Times New Roman" w:hAnsi="Times New Roman" w:cs="Times New Roman"/>
          <w:sz w:val="24"/>
          <w:szCs w:val="24"/>
          <w:u w:val="single"/>
        </w:rPr>
        <w:t>Повышение квалификации для лиц, на которых возложена трудовая функция по проведению противопожарного инструктажа</w:t>
      </w:r>
      <w:r>
        <w:rPr>
          <w:sz w:val="22"/>
        </w:rPr>
        <w:t>»</w:t>
      </w: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EB1B6A">
      <w:pPr>
        <w:shd w:val="clear" w:color="auto" w:fill="FFFFFF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0F12F2" w:rsidRDefault="000F12F2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E85700" w:rsidRDefault="00E85700" w:rsidP="00CE63EE">
      <w:pPr>
        <w:shd w:val="clear" w:color="auto" w:fill="FFFFFF"/>
        <w:rPr>
          <w:b/>
          <w:sz w:val="28"/>
          <w:szCs w:val="28"/>
        </w:rPr>
      </w:pPr>
    </w:p>
    <w:p w:rsidR="00E85700" w:rsidRDefault="00E85700" w:rsidP="00CE63EE">
      <w:pPr>
        <w:shd w:val="clear" w:color="auto" w:fill="FFFFFF"/>
        <w:rPr>
          <w:b/>
          <w:sz w:val="28"/>
          <w:szCs w:val="28"/>
        </w:rPr>
      </w:pPr>
    </w:p>
    <w:p w:rsidR="00E85700" w:rsidRDefault="00E85700" w:rsidP="00CE63EE">
      <w:pPr>
        <w:shd w:val="clear" w:color="auto" w:fill="FFFFFF"/>
        <w:rPr>
          <w:b/>
          <w:sz w:val="28"/>
          <w:szCs w:val="28"/>
        </w:rPr>
      </w:pPr>
    </w:p>
    <w:p w:rsidR="00E85700" w:rsidRDefault="00E85700" w:rsidP="00CE63EE">
      <w:pPr>
        <w:pStyle w:val="1"/>
        <w:tabs>
          <w:tab w:val="clear" w:pos="0"/>
        </w:tabs>
        <w:ind w:left="0" w:firstLine="0"/>
      </w:pPr>
    </w:p>
    <w:p w:rsidR="00CE693B" w:rsidRDefault="00CE693B" w:rsidP="00CE693B"/>
    <w:p w:rsidR="00CE693B" w:rsidRDefault="00CE693B" w:rsidP="00CE693B"/>
    <w:p w:rsidR="00CE693B" w:rsidRDefault="00CE693B" w:rsidP="00CE693B"/>
    <w:p w:rsidR="00CE693B" w:rsidRDefault="00CE693B" w:rsidP="00CE693B"/>
    <w:p w:rsidR="00CE693B" w:rsidRDefault="00CE693B" w:rsidP="00CE693B"/>
    <w:p w:rsidR="00CE693B" w:rsidRPr="00CE693B" w:rsidRDefault="00CE693B" w:rsidP="00CE693B"/>
    <w:p w:rsidR="00E85700" w:rsidRDefault="00E85700" w:rsidP="00CE63EE">
      <w:pPr>
        <w:pStyle w:val="1"/>
        <w:tabs>
          <w:tab w:val="clear" w:pos="0"/>
        </w:tabs>
        <w:ind w:left="0" w:firstLine="0"/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</w:t>
      </w:r>
      <w:r w:rsidR="00CE693B">
        <w:t>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3D5EF1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EB1B6A" w:rsidRDefault="00EB1B6A" w:rsidP="00EB1B6A"/>
    <w:p w:rsidR="000734ED" w:rsidRPr="00EB1B6A" w:rsidRDefault="000734ED" w:rsidP="00EB1B6A">
      <w:pPr>
        <w:pStyle w:val="Default"/>
        <w:rPr>
          <w:b/>
        </w:rPr>
      </w:pPr>
    </w:p>
    <w:p w:rsidR="00CE63EE" w:rsidRDefault="00CE63EE" w:rsidP="006D544A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071E05" w:rsidRPr="006D544A" w:rsidRDefault="00071E05" w:rsidP="006D544A">
      <w:pPr>
        <w:pStyle w:val="Default"/>
        <w:numPr>
          <w:ilvl w:val="0"/>
          <w:numId w:val="1"/>
        </w:numPr>
        <w:jc w:val="center"/>
        <w:rPr>
          <w:b/>
        </w:rPr>
      </w:pPr>
    </w:p>
    <w:p w:rsidR="00071E05" w:rsidRPr="00071E05" w:rsidRDefault="00071E05" w:rsidP="00071E05">
      <w:pPr>
        <w:widowControl/>
        <w:suppressAutoHyphens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071E05">
        <w:rPr>
          <w:rFonts w:eastAsiaTheme="minorHAnsi"/>
          <w:bCs/>
          <w:sz w:val="24"/>
          <w:szCs w:val="24"/>
          <w:lang w:eastAsia="en-US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071E05" w:rsidRDefault="00071E05" w:rsidP="00071E05">
      <w:pPr>
        <w:widowControl/>
        <w:suppressAutoHyphens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CE63EE" w:rsidRPr="00037F4F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037F4F" w:rsidRPr="001F4E54" w:rsidRDefault="00037F4F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3189"/>
        <w:gridCol w:w="3190"/>
        <w:gridCol w:w="3191"/>
      </w:tblGrid>
      <w:tr w:rsidR="00037F4F" w:rsidTr="005649CA">
        <w:tc>
          <w:tcPr>
            <w:tcW w:w="3190" w:type="dxa"/>
          </w:tcPr>
          <w:p w:rsidR="00037F4F" w:rsidRPr="00037F4F" w:rsidRDefault="00037F4F" w:rsidP="005649CA">
            <w:pPr>
              <w:rPr>
                <w:b/>
              </w:rPr>
            </w:pPr>
            <w:r w:rsidRPr="00037F4F">
              <w:rPr>
                <w:b/>
              </w:rPr>
              <w:t>Знания</w:t>
            </w:r>
          </w:p>
        </w:tc>
        <w:tc>
          <w:tcPr>
            <w:tcW w:w="3190" w:type="dxa"/>
          </w:tcPr>
          <w:p w:rsidR="00037F4F" w:rsidRPr="00037F4F" w:rsidRDefault="00037F4F" w:rsidP="005649CA">
            <w:pPr>
              <w:rPr>
                <w:b/>
              </w:rPr>
            </w:pPr>
            <w:r w:rsidRPr="00037F4F">
              <w:rPr>
                <w:b/>
              </w:rPr>
              <w:t>Умения</w:t>
            </w:r>
          </w:p>
        </w:tc>
        <w:tc>
          <w:tcPr>
            <w:tcW w:w="3191" w:type="dxa"/>
          </w:tcPr>
          <w:p w:rsidR="00037F4F" w:rsidRPr="00037F4F" w:rsidRDefault="00037F4F" w:rsidP="005649CA">
            <w:pPr>
              <w:rPr>
                <w:b/>
              </w:rPr>
            </w:pPr>
            <w:r w:rsidRPr="00037F4F">
              <w:rPr>
                <w:b/>
              </w:rPr>
              <w:t>Навыки</w:t>
            </w:r>
          </w:p>
        </w:tc>
      </w:tr>
      <w:tr w:rsidR="00037F4F" w:rsidTr="005649CA">
        <w:tc>
          <w:tcPr>
            <w:tcW w:w="3190" w:type="dxa"/>
          </w:tcPr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требования пожарной безопасности - законодательства Российской Федерации о пожарной безопасности для объектов защиты организации;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порядок обучения работников организаций мерам пожарной безопасности;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перечень нарушений требований пожарной безопасности, которые заведомо создают угрозу возникновения пожаров и загораний;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пожарную опасность технологического процесса производства, нарушения которого могут создать условия возникновения пожара;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организационные основы обеспечения пожарной безопасности в организации;</w:t>
            </w: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требования к разработке приказов, инструкций и положений, устанавливающих противопожарный режим на объекте, обучение работников организаций мерам пожарной безопасности;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вопросы обеспечения противопожарной защиты организации.</w:t>
            </w:r>
          </w:p>
          <w:p w:rsidR="00037F4F" w:rsidRPr="00621AE7" w:rsidRDefault="00037F4F" w:rsidP="005649CA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пользоваться первичными средствами пожаротушения;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разрабатывать мероприятия, направленные на усиление противопожарной защиты и предупреждение пожаров;</w:t>
            </w: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разрабатывать программы противопожарных инструктажей;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организовывать и проводить обучение мерам пожарной безопасности;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организовывать и проводить учения и тренировки по эвакуации людей и материальных ценностей из зданий, сооружений;</w:t>
            </w:r>
          </w:p>
          <w:p w:rsidR="00071E05" w:rsidRPr="00071E05" w:rsidRDefault="00071E05" w:rsidP="00071E05">
            <w:pPr>
              <w:rPr>
                <w:sz w:val="22"/>
                <w:szCs w:val="22"/>
              </w:rPr>
            </w:pPr>
          </w:p>
          <w:p w:rsidR="00071E05" w:rsidRDefault="00071E05" w:rsidP="00071E05">
            <w:pPr>
              <w:rPr>
                <w:sz w:val="22"/>
                <w:szCs w:val="22"/>
              </w:rPr>
            </w:pPr>
            <w:r w:rsidRPr="00071E05">
              <w:rPr>
                <w:sz w:val="22"/>
                <w:szCs w:val="22"/>
              </w:rPr>
              <w:t>действовать в случае возникновения пожара.</w:t>
            </w:r>
          </w:p>
          <w:p w:rsidR="00A44E55" w:rsidRPr="00071E05" w:rsidRDefault="00A44E55" w:rsidP="00071E05">
            <w:pPr>
              <w:rPr>
                <w:sz w:val="22"/>
                <w:szCs w:val="22"/>
              </w:rPr>
            </w:pPr>
          </w:p>
          <w:p w:rsidR="00A44E55" w:rsidRPr="00621AE7" w:rsidRDefault="00A44E55" w:rsidP="00A44E55">
            <w:pPr>
              <w:rPr>
                <w:sz w:val="22"/>
                <w:szCs w:val="22"/>
              </w:rPr>
            </w:pPr>
            <w:r w:rsidRPr="00621AE7">
              <w:rPr>
                <w:sz w:val="22"/>
                <w:szCs w:val="22"/>
              </w:rPr>
              <w:t>Практически выполнять действия при экстренной эвакуации</w:t>
            </w:r>
          </w:p>
          <w:p w:rsidR="00037F4F" w:rsidRPr="00621AE7" w:rsidRDefault="00A44E55" w:rsidP="00A44E55">
            <w:pPr>
              <w:rPr>
                <w:sz w:val="22"/>
                <w:szCs w:val="22"/>
              </w:rPr>
            </w:pPr>
            <w:r w:rsidRPr="00621AE7">
              <w:rPr>
                <w:sz w:val="22"/>
                <w:szCs w:val="22"/>
              </w:rPr>
              <w:t>Оказывать доврачебную помощь пострадавшим.</w:t>
            </w:r>
          </w:p>
        </w:tc>
        <w:tc>
          <w:tcPr>
            <w:tcW w:w="3191" w:type="dxa"/>
          </w:tcPr>
          <w:p w:rsidR="00071E05" w:rsidRDefault="00071E05" w:rsidP="00071E05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Применение первичных средств пожаротушения и осмотра до и после их использования;</w:t>
            </w:r>
          </w:p>
          <w:p w:rsidR="00071E05" w:rsidRDefault="00071E05" w:rsidP="00071E05">
            <w:pPr>
              <w:widowControl/>
              <w:suppressAutoHyphens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Эффективное применение на практике приобретенных в процессе обучения знаний и умений.</w:t>
            </w:r>
          </w:p>
          <w:p w:rsidR="00F43654" w:rsidRPr="00621AE7" w:rsidRDefault="00F43654" w:rsidP="00A44E55">
            <w:pPr>
              <w:widowControl/>
              <w:suppressAutoHyphens w:val="0"/>
              <w:autoSpaceDN w:val="0"/>
              <w:adjustRightInd w:val="0"/>
              <w:spacing w:before="220"/>
              <w:jc w:val="both"/>
              <w:rPr>
                <w:sz w:val="22"/>
                <w:szCs w:val="22"/>
              </w:rPr>
            </w:pPr>
          </w:p>
        </w:tc>
      </w:tr>
    </w:tbl>
    <w:p w:rsidR="00CE63EE" w:rsidRPr="00645FEC" w:rsidRDefault="00CE63EE" w:rsidP="00645FE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071E05" w:rsidRPr="00071E05" w:rsidRDefault="00071E05" w:rsidP="00645FEC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071E05" w:rsidRPr="00071E05" w:rsidRDefault="00071E05" w:rsidP="00645FEC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071E05" w:rsidRPr="00071E05" w:rsidRDefault="00071E05" w:rsidP="00071E05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071E05" w:rsidRPr="00071E05" w:rsidRDefault="00071E05" w:rsidP="00645FEC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645FEC" w:rsidRDefault="00CE63EE" w:rsidP="00645FEC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671"/>
        <w:gridCol w:w="992"/>
        <w:gridCol w:w="1701"/>
        <w:gridCol w:w="1701"/>
      </w:tblGrid>
      <w:tr w:rsidR="00CE63EE" w:rsidRPr="00E74ED0" w:rsidTr="00621AE7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671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992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621AE7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671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A44E55" w:rsidRPr="00E74ED0" w:rsidTr="00621AE7">
        <w:trPr>
          <w:trHeight w:val="463"/>
        </w:trPr>
        <w:tc>
          <w:tcPr>
            <w:tcW w:w="992" w:type="dxa"/>
          </w:tcPr>
          <w:p w:rsidR="00A44E55" w:rsidRPr="00DF201C" w:rsidRDefault="00A44E55" w:rsidP="00071E05">
            <w:pPr>
              <w:pStyle w:val="Default"/>
              <w:ind w:left="34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1" w:type="dxa"/>
          </w:tcPr>
          <w:p w:rsidR="00A44E55" w:rsidRPr="009636DD" w:rsidRDefault="00A44E55" w:rsidP="009636DD">
            <w:pPr>
              <w:pStyle w:val="ConsPlusTitle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Cs w:val="20"/>
              </w:rPr>
            </w:pPr>
            <w:r w:rsidRPr="009636DD">
              <w:rPr>
                <w:rFonts w:ascii="Times New Roman" w:hAnsi="Times New Roman" w:cs="Times New Roman"/>
                <w:szCs w:val="20"/>
              </w:rPr>
              <w:t>Организацион</w:t>
            </w:r>
            <w:r>
              <w:rPr>
                <w:rFonts w:ascii="Times New Roman" w:hAnsi="Times New Roman" w:cs="Times New Roman"/>
                <w:szCs w:val="20"/>
              </w:rPr>
              <w:t xml:space="preserve">ные основы обеспечения пожарной </w:t>
            </w:r>
            <w:r w:rsidRPr="009636DD">
              <w:rPr>
                <w:rFonts w:ascii="Times New Roman" w:hAnsi="Times New Roman" w:cs="Times New Roman"/>
                <w:szCs w:val="20"/>
              </w:rPr>
              <w:t>безопасности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636DD">
              <w:rPr>
                <w:rFonts w:ascii="Times New Roman" w:hAnsi="Times New Roman" w:cs="Times New Roman"/>
                <w:szCs w:val="20"/>
              </w:rPr>
              <w:t>в Российской Федерации</w:t>
            </w:r>
          </w:p>
          <w:p w:rsidR="00A44E55" w:rsidRPr="009636DD" w:rsidRDefault="00A44E55" w:rsidP="00621AE7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A44E55" w:rsidRPr="00E74ED0" w:rsidTr="00621AE7">
        <w:tc>
          <w:tcPr>
            <w:tcW w:w="992" w:type="dxa"/>
          </w:tcPr>
          <w:p w:rsidR="00A44E55" w:rsidRPr="007113F2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71" w:type="dxa"/>
          </w:tcPr>
          <w:p w:rsidR="00A44E55" w:rsidRPr="00F90E0B" w:rsidRDefault="00A44E55" w:rsidP="00621AE7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F90E0B">
              <w:rPr>
                <w:rFonts w:ascii="Times New Roman" w:hAnsi="Times New Roman" w:cs="Times New Roman"/>
                <w:szCs w:val="20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E55" w:rsidRPr="00E74ED0" w:rsidTr="00621AE7">
        <w:tc>
          <w:tcPr>
            <w:tcW w:w="992" w:type="dxa"/>
          </w:tcPr>
          <w:p w:rsidR="00A44E55" w:rsidRPr="007113F2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71" w:type="dxa"/>
          </w:tcPr>
          <w:p w:rsidR="00A44E55" w:rsidRPr="009636DD" w:rsidRDefault="00A44E55" w:rsidP="00621AE7">
            <w:pPr>
              <w:pStyle w:val="ConsPlusTitle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  <w:r w:rsidRPr="009636DD">
              <w:rPr>
                <w:rFonts w:ascii="Times New Roman" w:hAnsi="Times New Roman" w:cs="Times New Roman"/>
                <w:szCs w:val="20"/>
              </w:rPr>
              <w:t>Система противопожарной защиты</w:t>
            </w:r>
          </w:p>
          <w:p w:rsidR="00A44E55" w:rsidRPr="009636DD" w:rsidRDefault="00A44E55" w:rsidP="00ED3AEA">
            <w:pPr>
              <w:pStyle w:val="12TABL-txt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A44E55" w:rsidRPr="00E74ED0" w:rsidTr="00621AE7">
        <w:tc>
          <w:tcPr>
            <w:tcW w:w="992" w:type="dxa"/>
          </w:tcPr>
          <w:p w:rsidR="00A44E55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671" w:type="dxa"/>
          </w:tcPr>
          <w:p w:rsidR="00A44E55" w:rsidRPr="00071E05" w:rsidRDefault="00A44E55" w:rsidP="00071E05">
            <w:pPr>
              <w:pStyle w:val="ConsPlusTitle"/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sz w:val="22"/>
                <w:highlight w:val="yellow"/>
                <w:lang w:eastAsia="en-US"/>
              </w:rPr>
            </w:pPr>
            <w:r w:rsidRPr="00071E05">
              <w:rPr>
                <w:rFonts w:ascii="Times New Roman" w:eastAsiaTheme="minorHAnsi" w:hAnsi="Times New Roman" w:cs="Times New Roman"/>
                <w:sz w:val="22"/>
                <w:lang w:eastAsia="en-US"/>
              </w:rPr>
              <w:t>Требования пожарной безопасности для образовательных организаций, научных и проектных организаций, органов управления учреждений</w:t>
            </w: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A15AD">
              <w:rPr>
                <w:color w:val="auto"/>
                <w:sz w:val="22"/>
                <w:szCs w:val="22"/>
              </w:rPr>
              <w:t>-</w:t>
            </w:r>
          </w:p>
        </w:tc>
      </w:tr>
      <w:tr w:rsidR="00A44E55" w:rsidRPr="00E74ED0" w:rsidTr="00621AE7">
        <w:tc>
          <w:tcPr>
            <w:tcW w:w="992" w:type="dxa"/>
          </w:tcPr>
          <w:p w:rsidR="00A44E55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671" w:type="dxa"/>
          </w:tcPr>
          <w:p w:rsidR="00A44E55" w:rsidRPr="00071E05" w:rsidRDefault="00A44E55" w:rsidP="00071E05">
            <w:pPr>
              <w:pStyle w:val="ConsPlusTitle"/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sz w:val="22"/>
                <w:highlight w:val="yellow"/>
                <w:lang w:eastAsia="en-US"/>
              </w:rPr>
            </w:pPr>
            <w:r w:rsidRPr="00071E05">
              <w:rPr>
                <w:rFonts w:ascii="Times New Roman" w:eastAsiaTheme="minorHAnsi" w:hAnsi="Times New Roman" w:cs="Times New Roman"/>
                <w:sz w:val="22"/>
                <w:lang w:eastAsia="en-US"/>
              </w:rPr>
              <w:t>Требования пожарной безопасности для производственных объектов</w:t>
            </w: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A44E55" w:rsidRPr="00E74ED0" w:rsidTr="00621AE7">
        <w:tc>
          <w:tcPr>
            <w:tcW w:w="992" w:type="dxa"/>
          </w:tcPr>
          <w:p w:rsidR="00A44E55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671" w:type="dxa"/>
          </w:tcPr>
          <w:p w:rsidR="00A44E55" w:rsidRPr="009636DD" w:rsidRDefault="00A44E55" w:rsidP="00621AE7">
            <w:pPr>
              <w:pStyle w:val="ConsPlusTitle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Практические занятие</w:t>
            </w: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 w:rsidRPr="0077515B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A44E55" w:rsidRPr="00E74ED0" w:rsidTr="00621AE7">
        <w:tc>
          <w:tcPr>
            <w:tcW w:w="992" w:type="dxa"/>
          </w:tcPr>
          <w:p w:rsidR="00A44E55" w:rsidRPr="007113F2" w:rsidRDefault="00A44E5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671" w:type="dxa"/>
          </w:tcPr>
          <w:p w:rsidR="00A44E55" w:rsidRPr="009636DD" w:rsidRDefault="00A44E55" w:rsidP="00621AE7">
            <w:pPr>
              <w:pStyle w:val="a8"/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636DD">
              <w:rPr>
                <w:rFonts w:eastAsiaTheme="minorHAnsi"/>
                <w:b/>
                <w:bCs/>
                <w:lang w:eastAsia="en-US"/>
              </w:rPr>
              <w:t>Проверка знания</w:t>
            </w:r>
          </w:p>
        </w:tc>
        <w:tc>
          <w:tcPr>
            <w:tcW w:w="992" w:type="dxa"/>
            <w:vAlign w:val="center"/>
          </w:tcPr>
          <w:p w:rsidR="00A44E55" w:rsidRPr="0077515B" w:rsidRDefault="00A44E55" w:rsidP="009815E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A44E55" w:rsidRPr="002A15AD" w:rsidRDefault="00A44E55" w:rsidP="009815E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6D544A" w:rsidRPr="00E74ED0" w:rsidTr="00621AE7">
        <w:tc>
          <w:tcPr>
            <w:tcW w:w="992" w:type="dxa"/>
          </w:tcPr>
          <w:p w:rsidR="006D544A" w:rsidRPr="007113F2" w:rsidRDefault="00071E05" w:rsidP="00071E05">
            <w:pPr>
              <w:pStyle w:val="Default"/>
              <w:ind w:left="142" w:hanging="78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671" w:type="dxa"/>
          </w:tcPr>
          <w:p w:rsidR="006D544A" w:rsidRPr="009636DD" w:rsidRDefault="006D544A" w:rsidP="00ED3AEA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3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6D544A" w:rsidRPr="0077515B" w:rsidRDefault="006D544A" w:rsidP="000F3C0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1" w:type="dxa"/>
            <w:vAlign w:val="center"/>
          </w:tcPr>
          <w:p w:rsidR="006D544A" w:rsidRPr="0077515B" w:rsidRDefault="006D544A" w:rsidP="000F3C0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6D544A" w:rsidRPr="0077515B" w:rsidRDefault="006D544A" w:rsidP="000F3C0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C038AB" w:rsidRDefault="00C038AB" w:rsidP="006D544A">
      <w:pPr>
        <w:rPr>
          <w:b/>
          <w:sz w:val="24"/>
          <w:szCs w:val="24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E85700" w:rsidRPr="006D544A" w:rsidRDefault="00CE63EE" w:rsidP="006D544A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071E05" w:rsidRDefault="00071E05" w:rsidP="00CE63EE">
      <w:pPr>
        <w:pStyle w:val="Default"/>
        <w:jc w:val="center"/>
        <w:rPr>
          <w:b/>
          <w:sz w:val="28"/>
          <w:szCs w:val="28"/>
        </w:rPr>
      </w:pPr>
    </w:p>
    <w:p w:rsidR="00071E05" w:rsidRDefault="00071E05" w:rsidP="00CE63EE">
      <w:pPr>
        <w:pStyle w:val="Default"/>
        <w:jc w:val="center"/>
        <w:rPr>
          <w:b/>
          <w:sz w:val="28"/>
          <w:szCs w:val="28"/>
        </w:rPr>
      </w:pPr>
    </w:p>
    <w:p w:rsidR="00CE63EE" w:rsidRPr="003D78C6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4"/>
      </w:pPr>
      <w:r>
        <w:t>Модуль 1</w:t>
      </w:r>
    </w:p>
    <w:p w:rsidR="00621AE7" w:rsidRDefault="00621AE7" w:rsidP="000734ED">
      <w:pPr>
        <w:pStyle w:val="ConsPlusTitle"/>
        <w:numPr>
          <w:ilvl w:val="0"/>
          <w:numId w:val="1"/>
        </w:numPr>
        <w:jc w:val="center"/>
        <w:outlineLvl w:val="4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</w:pPr>
      <w:r>
        <w:t>Организационные основы обеспечения пожарной безопасности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</w:pPr>
      <w:r>
        <w:t>в Российской Федерации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1.1. Система обеспечения пожарной безопасности в Российской Федерации</w:t>
      </w:r>
    </w:p>
    <w:p w:rsidR="008C1325" w:rsidRDefault="008C1325" w:rsidP="000734ED">
      <w:pPr>
        <w:pStyle w:val="ConsPlusTitle"/>
        <w:numPr>
          <w:ilvl w:val="0"/>
          <w:numId w:val="1"/>
        </w:numPr>
        <w:jc w:val="center"/>
        <w:outlineLvl w:val="5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1.2. Права, обязанности и ответственность организаций в области пожарной безопасности</w:t>
      </w:r>
    </w:p>
    <w:p w:rsidR="00E32300" w:rsidRDefault="00E32300" w:rsidP="00621AE7">
      <w:pPr>
        <w:pStyle w:val="ConsPlusTitle"/>
        <w:numPr>
          <w:ilvl w:val="0"/>
          <w:numId w:val="1"/>
        </w:numPr>
        <w:jc w:val="center"/>
        <w:outlineLvl w:val="5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1.3. Противопожарный режим на объекте</w:t>
      </w:r>
    </w:p>
    <w:p w:rsidR="000734ED" w:rsidRDefault="000734ED" w:rsidP="000734ED">
      <w:pPr>
        <w:pStyle w:val="ConsPlusNormal"/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1.4. Практические занятия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4"/>
      </w:pPr>
      <w:r>
        <w:t>Модуль 2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</w:pPr>
      <w:r>
        <w:t>Общие принципы обеспечения пожарной безопасности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</w:pPr>
      <w:r>
        <w:t>объекта защиты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2.1. Классификация пожаров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2.2. Классификация зданий, сооружений и пожарных отсеков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2.3. Взрывопожарная и пожарная опасность веществ и материалов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2.4. Требования пожарной безопасности к электротехнической продукции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2.5. Требования пожарной безопасности к инженерному оборудованию зданий и сооружений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lastRenderedPageBreak/>
        <w:t>Тема 2.6. Требования пожарной безопасности к проходам, проездам и подъездам зданий и сооружений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2.7. Требования к противопожарным расстояниям между зданиями и сооружениями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</w:t>
      </w:r>
      <w:r w:rsidR="00E32300">
        <w:t>8</w:t>
      </w:r>
      <w:r>
        <w:t>. Требования пожарной безопасности к многофункциональным зданиям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2.</w:t>
      </w:r>
      <w:r w:rsidR="00E32300">
        <w:t>9</w:t>
      </w:r>
      <w:r>
        <w:t>. Требования пожарной безопасности к жилым помещениям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4"/>
      </w:pPr>
      <w:r>
        <w:t>Модуль 3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</w:pPr>
      <w:r>
        <w:t>Система противопожарной защиты</w:t>
      </w:r>
    </w:p>
    <w:p w:rsidR="000734ED" w:rsidRDefault="000734ED" w:rsidP="000734ED">
      <w:pPr>
        <w:pStyle w:val="ConsPlusNormal"/>
        <w:numPr>
          <w:ilvl w:val="0"/>
          <w:numId w:val="1"/>
        </w:numPr>
        <w:jc w:val="center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3.1. Способы защиты людей и имущества от воздействия опасных факторов пожара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3.2. Пути эвакуации людей при пожаре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3.3. Системы обнаружения пожара, оповещения и управления эвакуацией людей при пожаре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3.4. Системы коллективной защиты и средства индивидуальной защиты и спасения людей от опасных факторов пожара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3.5. Система противодымной защиты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3.6. Ограничение распространения пожара за пределы очага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3.7. Первичные средства пожаротушения в зданиях и сооружениях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3.8. Системы автоматического пожаротушения и системы пожарной сигнализации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3.9. Общие требования к пожарному оборудованию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3.10. Источники противопожарного водоснабжения</w:t>
      </w: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3.11. Требования правил противопожарного режима к проведению пожароопасных работ в зданиях класса функциональной пожарной опасности</w:t>
      </w:r>
    </w:p>
    <w:p w:rsidR="00EB1B6A" w:rsidRDefault="00EB1B6A" w:rsidP="00EB1B6A">
      <w:pPr>
        <w:pStyle w:val="ConsPlusNormal"/>
        <w:jc w:val="both"/>
      </w:pPr>
    </w:p>
    <w:p w:rsidR="000734ED" w:rsidRDefault="000734ED" w:rsidP="000734ED">
      <w:pPr>
        <w:pStyle w:val="ConsPlusTitle"/>
        <w:numPr>
          <w:ilvl w:val="0"/>
          <w:numId w:val="1"/>
        </w:numPr>
        <w:jc w:val="center"/>
        <w:outlineLvl w:val="5"/>
      </w:pPr>
      <w:r>
        <w:t>Тема 3.12. Практические занятия</w:t>
      </w:r>
    </w:p>
    <w:p w:rsidR="000734ED" w:rsidRDefault="00FA2E64" w:rsidP="000734ED">
      <w:pPr>
        <w:pStyle w:val="ConsPlusTitle"/>
        <w:numPr>
          <w:ilvl w:val="0"/>
          <w:numId w:val="1"/>
        </w:numPr>
        <w:jc w:val="center"/>
        <w:outlineLvl w:val="4"/>
      </w:pPr>
      <w:r>
        <w:t>Модуль 4</w:t>
      </w:r>
    </w:p>
    <w:p w:rsidR="000734ED" w:rsidRDefault="000734ED" w:rsidP="00F17372">
      <w:pPr>
        <w:pStyle w:val="ConsPlusTitle"/>
        <w:numPr>
          <w:ilvl w:val="0"/>
          <w:numId w:val="1"/>
        </w:numPr>
        <w:jc w:val="center"/>
      </w:pPr>
      <w:r>
        <w:t>Требования пожарной безопасности для образовательных</w:t>
      </w:r>
    </w:p>
    <w:p w:rsidR="000734ED" w:rsidRDefault="000734ED" w:rsidP="00F17372">
      <w:pPr>
        <w:pStyle w:val="ConsPlusTitle"/>
        <w:numPr>
          <w:ilvl w:val="0"/>
          <w:numId w:val="1"/>
        </w:numPr>
        <w:jc w:val="center"/>
      </w:pPr>
      <w:r>
        <w:t>организаций, научных и проектных организаций, органов</w:t>
      </w:r>
    </w:p>
    <w:p w:rsidR="000734ED" w:rsidRDefault="000734ED" w:rsidP="00F17372">
      <w:pPr>
        <w:pStyle w:val="ConsPlusTitle"/>
        <w:numPr>
          <w:ilvl w:val="0"/>
          <w:numId w:val="1"/>
        </w:numPr>
        <w:jc w:val="center"/>
      </w:pPr>
      <w:r>
        <w:t>управления учреждений</w:t>
      </w:r>
    </w:p>
    <w:p w:rsidR="00E85700" w:rsidRPr="00971F58" w:rsidRDefault="00E85700" w:rsidP="00971F58">
      <w:pPr>
        <w:pStyle w:val="ConsPlusNormal"/>
        <w:jc w:val="both"/>
      </w:pPr>
    </w:p>
    <w:p w:rsidR="009636DD" w:rsidRPr="00971F58" w:rsidRDefault="00E85700" w:rsidP="00971F58">
      <w:pPr>
        <w:pStyle w:val="a8"/>
        <w:widowControl/>
        <w:numPr>
          <w:ilvl w:val="0"/>
          <w:numId w:val="1"/>
        </w:numPr>
        <w:suppressAutoHyphens w:val="0"/>
        <w:autoSpaceDN w:val="0"/>
        <w:adjustRightInd w:val="0"/>
        <w:spacing w:before="2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E85700">
        <w:rPr>
          <w:rFonts w:eastAsiaTheme="minorHAnsi"/>
          <w:b/>
          <w:bCs/>
          <w:sz w:val="24"/>
          <w:szCs w:val="24"/>
          <w:lang w:eastAsia="en-US"/>
        </w:rPr>
        <w:t>Практическое занятие</w:t>
      </w:r>
    </w:p>
    <w:p w:rsidR="009636DD" w:rsidRPr="009636DD" w:rsidRDefault="009636DD" w:rsidP="009636DD">
      <w:pPr>
        <w:pStyle w:val="a8"/>
        <w:widowControl/>
        <w:numPr>
          <w:ilvl w:val="0"/>
          <w:numId w:val="1"/>
        </w:numPr>
        <w:suppressAutoHyphens w:val="0"/>
        <w:autoSpaceDN w:val="0"/>
        <w:adjustRightInd w:val="0"/>
        <w:spacing w:before="24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CE63EE" w:rsidRPr="00D045F0" w:rsidRDefault="00971F58" w:rsidP="00CE63EE">
      <w:pPr>
        <w:pStyle w:val="Default"/>
        <w:jc w:val="center"/>
        <w:rPr>
          <w:b/>
          <w:color w:val="auto"/>
          <w:highlight w:val="yellow"/>
        </w:rPr>
      </w:pPr>
      <w:r>
        <w:rPr>
          <w:b/>
          <w:color w:val="auto"/>
        </w:rPr>
        <w:t>5</w:t>
      </w:r>
      <w:r w:rsidR="00CE63EE" w:rsidRPr="00D045F0">
        <w:rPr>
          <w:b/>
          <w:color w:val="auto"/>
        </w:rPr>
        <w:t>. Проверка знания</w:t>
      </w:r>
    </w:p>
    <w:p w:rsidR="00CE63EE" w:rsidRPr="00D128EF" w:rsidRDefault="00CE63EE" w:rsidP="00D128EF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5D4254" w:rsidRDefault="005D4254" w:rsidP="00E85700">
      <w:pPr>
        <w:widowControl/>
        <w:suppressAutoHyphens w:val="0"/>
        <w:autoSpaceDN w:val="0"/>
        <w:adjustRightInd w:val="0"/>
        <w:jc w:val="both"/>
      </w:pPr>
    </w:p>
    <w:sectPr w:rsidR="005D4254" w:rsidSect="008E1CD4">
      <w:headerReference w:type="default" r:id="rId8"/>
      <w:pgSz w:w="11905" w:h="16838"/>
      <w:pgMar w:top="283" w:right="850" w:bottom="283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D1" w:rsidRDefault="00A06ED1" w:rsidP="0083134B">
      <w:r>
        <w:separator/>
      </w:r>
    </w:p>
  </w:endnote>
  <w:endnote w:type="continuationSeparator" w:id="1">
    <w:p w:rsidR="00A06ED1" w:rsidRDefault="00A06ED1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D1" w:rsidRDefault="00A06ED1" w:rsidP="0083134B">
      <w:r>
        <w:separator/>
      </w:r>
    </w:p>
  </w:footnote>
  <w:footnote w:type="continuationSeparator" w:id="1">
    <w:p w:rsidR="00A06ED1" w:rsidRDefault="00A06ED1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2583"/>
      <w:docPartObj>
        <w:docPartGallery w:val="Page Numbers (Top of Page)"/>
        <w:docPartUnique/>
      </w:docPartObj>
    </w:sdtPr>
    <w:sdtContent>
      <w:p w:rsidR="00EB1B6A" w:rsidRDefault="00EB1B6A">
        <w:pPr>
          <w:pStyle w:val="a3"/>
          <w:jc w:val="center"/>
        </w:pPr>
      </w:p>
      <w:tbl>
        <w:tblPr>
          <w:tblW w:w="10071" w:type="dxa"/>
          <w:tblInd w:w="-452" w:type="dxa"/>
          <w:tblLayout w:type="fixed"/>
          <w:tblLook w:val="0000"/>
        </w:tblPr>
        <w:tblGrid>
          <w:gridCol w:w="1985"/>
          <w:gridCol w:w="8086"/>
        </w:tblGrid>
        <w:tr w:rsidR="00EB1B6A" w:rsidTr="00021FAF">
          <w:trPr>
            <w:trHeight w:val="658"/>
          </w:trPr>
          <w:tc>
            <w:tcPr>
              <w:tcW w:w="1985" w:type="dxa"/>
              <w:vMerge w:val="restar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  <w:shd w:val="clear" w:color="auto" w:fill="auto"/>
              <w:vAlign w:val="bottom"/>
            </w:tcPr>
            <w:p w:rsidR="00EB1B6A" w:rsidRDefault="00EB1B6A" w:rsidP="00021FAF">
              <w:pPr>
                <w:pStyle w:val="a3"/>
                <w:snapToGrid w:val="0"/>
                <w:jc w:val="center"/>
                <w:rPr>
                  <w:sz w:val="28"/>
                  <w:szCs w:val="28"/>
                </w:rPr>
              </w:pPr>
              <w:r>
                <w:rPr>
                  <w:noProof/>
                  <w:sz w:val="18"/>
                  <w:szCs w:val="18"/>
                  <w:lang w:eastAsia="ru-RU"/>
                </w:rPr>
                <w:drawing>
                  <wp:inline distT="0" distB="0" distL="0" distR="0">
                    <wp:extent cx="230505" cy="349885"/>
                    <wp:effectExtent l="38100" t="19050" r="17145" b="12065"/>
                    <wp:docPr id="7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0505" cy="34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pic:spPr>
                        </pic:pic>
                      </a:graphicData>
                    </a:graphic>
                  </wp:inline>
                </w:drawing>
              </w:r>
            </w:p>
            <w:p w:rsidR="00EB1B6A" w:rsidRDefault="00EB1B6A" w:rsidP="00021FAF">
              <w:pPr>
                <w:pStyle w:val="a3"/>
                <w:jc w:val="center"/>
                <w:rPr>
                  <w:sz w:val="28"/>
                  <w:szCs w:val="28"/>
                </w:rPr>
              </w:pPr>
            </w:p>
          </w:tc>
          <w:tc>
            <w:tcPr>
              <w:tcW w:w="8086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shd w:val="clear" w:color="auto" w:fill="auto"/>
            </w:tcPr>
            <w:p w:rsidR="00EB1B6A" w:rsidRDefault="00EB1B6A" w:rsidP="00021FAF">
              <w:pPr>
                <w:tabs>
                  <w:tab w:val="left" w:pos="4536"/>
                </w:tabs>
                <w:snapToGrid w:val="0"/>
                <w:ind w:left="142" w:right="567" w:firstLine="22"/>
                <w:jc w:val="center"/>
                <w:rPr>
                  <w:b/>
                  <w:sz w:val="8"/>
                  <w:szCs w:val="8"/>
                </w:rPr>
              </w:pPr>
            </w:p>
            <w:p w:rsidR="00EB1B6A" w:rsidRDefault="00EB1B6A" w:rsidP="00021FAF">
              <w:pPr>
                <w:tabs>
                  <w:tab w:val="left" w:pos="4536"/>
                </w:tabs>
                <w:ind w:right="34"/>
                <w:jc w:val="center"/>
                <w:rPr>
                  <w:rFonts w:ascii="Arial" w:eastAsia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Автономная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</w:rPr>
                <w:t>некоммерческая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</w:rPr>
                <w:t>организация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</w:rPr>
                <w:t>дополнительного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</w:p>
            <w:p w:rsidR="00EB1B6A" w:rsidRDefault="00EB1B6A" w:rsidP="00021FAF">
              <w:pPr>
                <w:tabs>
                  <w:tab w:val="left" w:pos="4536"/>
                </w:tabs>
                <w:ind w:right="34"/>
                <w:jc w:val="center"/>
                <w:rPr>
                  <w:rFonts w:ascii="Arial" w:eastAsia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профессионального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</w:rPr>
                <w:t>образования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«</w:t>
              </w:r>
              <w:r>
                <w:rPr>
                  <w:rFonts w:ascii="Arial" w:hAnsi="Arial" w:cs="Arial"/>
                  <w:sz w:val="22"/>
                  <w:szCs w:val="22"/>
                </w:rPr>
                <w:t>Альянс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>-</w:t>
              </w:r>
              <w:r>
                <w:rPr>
                  <w:rFonts w:ascii="Arial" w:hAnsi="Arial" w:cs="Arial"/>
                  <w:sz w:val="22"/>
                  <w:szCs w:val="22"/>
                </w:rPr>
                <w:t>Обучение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>»</w:t>
              </w:r>
            </w:p>
          </w:tc>
        </w:tr>
        <w:tr w:rsidR="00EB1B6A" w:rsidTr="00021FAF">
          <w:trPr>
            <w:trHeight w:val="365"/>
          </w:trPr>
          <w:tc>
            <w:tcPr>
              <w:tcW w:w="1985" w:type="dxa"/>
              <w:vMerge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  <w:shd w:val="clear" w:color="auto" w:fill="auto"/>
            </w:tcPr>
            <w:p w:rsidR="00EB1B6A" w:rsidRDefault="00EB1B6A" w:rsidP="00021FAF">
              <w:pPr>
                <w:pStyle w:val="a3"/>
                <w:snapToGrid w:val="0"/>
                <w:rPr>
                  <w:b/>
                  <w:sz w:val="28"/>
                </w:rPr>
              </w:pPr>
            </w:p>
          </w:tc>
          <w:tc>
            <w:tcPr>
              <w:tcW w:w="8086" w:type="dxa"/>
              <w:tc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</w:tcBorders>
              <w:shd w:val="clear" w:color="auto" w:fill="auto"/>
            </w:tcPr>
            <w:p w:rsidR="00EB1B6A" w:rsidRDefault="00EB1B6A" w:rsidP="00021FAF">
              <w:pPr>
                <w:tabs>
                  <w:tab w:val="left" w:pos="1240"/>
                </w:tabs>
                <w:snapToGrid w:val="0"/>
                <w:jc w:val="right"/>
              </w:pPr>
              <w:r>
                <w:t xml:space="preserve">стр. </w:t>
              </w:r>
              <w:r w:rsidR="00A67F82"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PAGE </w:instrText>
              </w:r>
              <w:r w:rsidR="00A67F82">
                <w:rPr>
                  <w:sz w:val="18"/>
                  <w:szCs w:val="18"/>
                </w:rPr>
                <w:fldChar w:fldCharType="separate"/>
              </w:r>
              <w:r w:rsidR="00971F58">
                <w:rPr>
                  <w:noProof/>
                  <w:sz w:val="18"/>
                  <w:szCs w:val="18"/>
                </w:rPr>
                <w:t>4</w:t>
              </w:r>
              <w:r w:rsidR="00A67F82">
                <w:rPr>
                  <w:sz w:val="18"/>
                  <w:szCs w:val="18"/>
                </w:rPr>
                <w:fldChar w:fldCharType="end"/>
              </w:r>
              <w:r>
                <w:t xml:space="preserve"> из </w:t>
              </w:r>
              <w:r w:rsidR="00E85700">
                <w:t>10</w:t>
              </w:r>
            </w:p>
            <w:p w:rsidR="00EB1B6A" w:rsidRDefault="00EB1B6A" w:rsidP="00021FAF">
              <w:pPr>
                <w:tabs>
                  <w:tab w:val="left" w:pos="1240"/>
                </w:tabs>
                <w:jc w:val="right"/>
                <w:rPr>
                  <w:rFonts w:ascii="Arial" w:eastAsia="Arial" w:hAnsi="Arial" w:cs="Arial"/>
                  <w:b/>
                </w:rPr>
              </w:pPr>
            </w:p>
          </w:tc>
        </w:tr>
      </w:tbl>
      <w:p w:rsidR="00EB1B6A" w:rsidRDefault="00EB1B6A" w:rsidP="00EB1B6A"/>
      <w:p w:rsidR="005D4254" w:rsidRDefault="00A67F82">
        <w:pPr>
          <w:pStyle w:val="a3"/>
          <w:jc w:val="center"/>
        </w:pPr>
        <w:fldSimple w:instr="PAGE   \* MERGEFORMAT">
          <w:r w:rsidR="00971F58">
            <w:rPr>
              <w:noProof/>
            </w:rPr>
            <w:t>4</w:t>
          </w:r>
        </w:fldSimple>
      </w:p>
    </w:sdtContent>
  </w:sdt>
  <w:p w:rsidR="005D4254" w:rsidRDefault="005D42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37F4F"/>
    <w:rsid w:val="00071E05"/>
    <w:rsid w:val="000734ED"/>
    <w:rsid w:val="000D1C11"/>
    <w:rsid w:val="000D24A7"/>
    <w:rsid w:val="000F12F2"/>
    <w:rsid w:val="00135721"/>
    <w:rsid w:val="001425DB"/>
    <w:rsid w:val="00147644"/>
    <w:rsid w:val="00161758"/>
    <w:rsid w:val="00167BDB"/>
    <w:rsid w:val="00190210"/>
    <w:rsid w:val="001D4622"/>
    <w:rsid w:val="001F05A0"/>
    <w:rsid w:val="00254BFE"/>
    <w:rsid w:val="002958D1"/>
    <w:rsid w:val="002D2E9D"/>
    <w:rsid w:val="002F694F"/>
    <w:rsid w:val="00310F9E"/>
    <w:rsid w:val="00325411"/>
    <w:rsid w:val="00371AD5"/>
    <w:rsid w:val="003C73D2"/>
    <w:rsid w:val="00415FC1"/>
    <w:rsid w:val="0046065B"/>
    <w:rsid w:val="004737A5"/>
    <w:rsid w:val="004770B3"/>
    <w:rsid w:val="00484352"/>
    <w:rsid w:val="004A3DBF"/>
    <w:rsid w:val="004B64A8"/>
    <w:rsid w:val="005A694D"/>
    <w:rsid w:val="005C7D0B"/>
    <w:rsid w:val="005D4254"/>
    <w:rsid w:val="006145E3"/>
    <w:rsid w:val="00621AE7"/>
    <w:rsid w:val="00624EAB"/>
    <w:rsid w:val="00645FEC"/>
    <w:rsid w:val="00650E14"/>
    <w:rsid w:val="00655560"/>
    <w:rsid w:val="00675FA4"/>
    <w:rsid w:val="006D544A"/>
    <w:rsid w:val="006D5663"/>
    <w:rsid w:val="006E3E47"/>
    <w:rsid w:val="00771DBC"/>
    <w:rsid w:val="00775F9B"/>
    <w:rsid w:val="007A5A6F"/>
    <w:rsid w:val="00802A73"/>
    <w:rsid w:val="0083134B"/>
    <w:rsid w:val="00837162"/>
    <w:rsid w:val="00840015"/>
    <w:rsid w:val="0084601A"/>
    <w:rsid w:val="008A7FF8"/>
    <w:rsid w:val="008C1325"/>
    <w:rsid w:val="008D5215"/>
    <w:rsid w:val="008E01D6"/>
    <w:rsid w:val="008E663B"/>
    <w:rsid w:val="008F02F9"/>
    <w:rsid w:val="00933D8D"/>
    <w:rsid w:val="009516E6"/>
    <w:rsid w:val="009636DD"/>
    <w:rsid w:val="00971F58"/>
    <w:rsid w:val="00983EB8"/>
    <w:rsid w:val="009975E4"/>
    <w:rsid w:val="009D53EB"/>
    <w:rsid w:val="00A06ED1"/>
    <w:rsid w:val="00A3256C"/>
    <w:rsid w:val="00A44E55"/>
    <w:rsid w:val="00A5228F"/>
    <w:rsid w:val="00A67F82"/>
    <w:rsid w:val="00BB0236"/>
    <w:rsid w:val="00C038AB"/>
    <w:rsid w:val="00C46469"/>
    <w:rsid w:val="00C80AE6"/>
    <w:rsid w:val="00C909DD"/>
    <w:rsid w:val="00C94A6B"/>
    <w:rsid w:val="00CB5DAB"/>
    <w:rsid w:val="00CD5F6D"/>
    <w:rsid w:val="00CE63EE"/>
    <w:rsid w:val="00CE693B"/>
    <w:rsid w:val="00D01341"/>
    <w:rsid w:val="00D128EF"/>
    <w:rsid w:val="00DF201C"/>
    <w:rsid w:val="00DF6BBB"/>
    <w:rsid w:val="00E1645B"/>
    <w:rsid w:val="00E2352A"/>
    <w:rsid w:val="00E32300"/>
    <w:rsid w:val="00E40CBC"/>
    <w:rsid w:val="00E73070"/>
    <w:rsid w:val="00E85700"/>
    <w:rsid w:val="00EB1B6A"/>
    <w:rsid w:val="00ED34CA"/>
    <w:rsid w:val="00EE104D"/>
    <w:rsid w:val="00F1079E"/>
    <w:rsid w:val="00F17372"/>
    <w:rsid w:val="00F43654"/>
    <w:rsid w:val="00F8298A"/>
    <w:rsid w:val="00F83D36"/>
    <w:rsid w:val="00F90CE5"/>
    <w:rsid w:val="00F90E0B"/>
    <w:rsid w:val="00F93194"/>
    <w:rsid w:val="00FA2E64"/>
    <w:rsid w:val="00FC0AD3"/>
    <w:rsid w:val="00FE12E8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uiPriority w:val="99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table" w:styleId="aa">
    <w:name w:val="Table Grid"/>
    <w:basedOn w:val="a1"/>
    <w:uiPriority w:val="59"/>
    <w:rsid w:val="00037F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B1B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1B6A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EB1B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B1B6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366B-9715-4E0F-A4F1-9BE6506C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2024-09-30T05:29:00Z</cp:lastPrinted>
  <dcterms:created xsi:type="dcterms:W3CDTF">2025-09-11T10:40:00Z</dcterms:created>
  <dcterms:modified xsi:type="dcterms:W3CDTF">2025-09-11T10:40:00Z</dcterms:modified>
</cp:coreProperties>
</file>