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46318E">
            <w:pPr>
              <w:pStyle w:val="af2"/>
              <w:jc w:val="center"/>
            </w:pPr>
          </w:p>
          <w:p w:rsidR="00E4336E" w:rsidRDefault="00E4336E" w:rsidP="0046318E">
            <w:pPr>
              <w:pStyle w:val="af2"/>
              <w:jc w:val="center"/>
            </w:pPr>
          </w:p>
          <w:p w:rsidR="00E4336E" w:rsidRDefault="00E4336E" w:rsidP="0046318E">
            <w:pPr>
              <w:pStyle w:val="af2"/>
              <w:jc w:val="center"/>
            </w:pPr>
          </w:p>
          <w:p w:rsidR="00E4336E" w:rsidRDefault="00E4336E" w:rsidP="0046318E">
            <w:pPr>
              <w:pStyle w:val="af2"/>
              <w:jc w:val="center"/>
            </w:pPr>
          </w:p>
          <w:p w:rsidR="00E4336E" w:rsidRDefault="00E4336E" w:rsidP="0046318E">
            <w:pPr>
              <w:pStyle w:val="af2"/>
              <w:jc w:val="center"/>
            </w:pPr>
          </w:p>
          <w:p w:rsidR="00E4336E" w:rsidRDefault="00E4336E" w:rsidP="0046318E">
            <w:pPr>
              <w:pStyle w:val="af2"/>
              <w:jc w:val="center"/>
            </w:pPr>
          </w:p>
          <w:p w:rsidR="00E4336E" w:rsidRDefault="00E4336E" w:rsidP="0046318E">
            <w:pPr>
              <w:pStyle w:val="af2"/>
              <w:jc w:val="center"/>
            </w:pPr>
          </w:p>
          <w:p w:rsidR="00E4336E" w:rsidRDefault="00E4336E" w:rsidP="0046318E">
            <w:pPr>
              <w:pStyle w:val="af2"/>
              <w:jc w:val="center"/>
            </w:pPr>
          </w:p>
          <w:p w:rsidR="00E4336E" w:rsidRDefault="00E4336E" w:rsidP="0046318E">
            <w:pPr>
              <w:pStyle w:val="af2"/>
              <w:jc w:val="center"/>
            </w:pPr>
          </w:p>
          <w:p w:rsidR="00E4336E" w:rsidRDefault="00E4336E" w:rsidP="0046318E">
            <w:pPr>
              <w:pStyle w:val="af2"/>
              <w:jc w:val="center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46318E">
            <w:pPr>
              <w:pStyle w:val="af0"/>
              <w:jc w:val="right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6318E" w:rsidRDefault="0046318E" w:rsidP="0046318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46318E" w:rsidRPr="00331A49" w:rsidRDefault="0046318E" w:rsidP="0046318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подготовки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1E0322" w:rsidRPr="001E0322" w:rsidRDefault="007D6946" w:rsidP="007D6946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</w:t>
      </w:r>
      <w:r w:rsidR="0046318E">
        <w:rPr>
          <w:b/>
          <w:sz w:val="28"/>
          <w:szCs w:val="28"/>
        </w:rPr>
        <w:t>По профессии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E0322" w:rsidRPr="001E0322">
        <w:rPr>
          <w:b/>
          <w:sz w:val="32"/>
          <w:szCs w:val="32"/>
          <w:u w:val="single"/>
        </w:rPr>
        <w:t>Оператор-гальваник на автоматических и</w:t>
      </w:r>
    </w:p>
    <w:p w:rsidR="007D6946" w:rsidRPr="001E0322" w:rsidRDefault="001E0322" w:rsidP="007D6946">
      <w:pPr>
        <w:rPr>
          <w:b/>
          <w:sz w:val="32"/>
          <w:szCs w:val="32"/>
          <w:u w:val="single"/>
        </w:rPr>
      </w:pPr>
      <w:r w:rsidRPr="001E0322">
        <w:rPr>
          <w:b/>
          <w:sz w:val="32"/>
          <w:szCs w:val="32"/>
        </w:rPr>
        <w:t xml:space="preserve">                                </w:t>
      </w:r>
      <w:r w:rsidRPr="001E0322">
        <w:rPr>
          <w:b/>
          <w:sz w:val="32"/>
          <w:szCs w:val="32"/>
          <w:u w:val="single"/>
        </w:rPr>
        <w:t>полуавтоматических линиях</w:t>
      </w:r>
    </w:p>
    <w:p w:rsidR="007D6946" w:rsidRPr="001E0322" w:rsidRDefault="007D6946" w:rsidP="007D6946">
      <w:pPr>
        <w:jc w:val="center"/>
        <w:rPr>
          <w:b/>
          <w:sz w:val="28"/>
          <w:szCs w:val="28"/>
          <w:u w:val="single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 w:rsidRPr="00751D9E">
        <w:rPr>
          <w:b/>
          <w:color w:val="FF0000"/>
          <w:sz w:val="28"/>
          <w:szCs w:val="28"/>
        </w:rPr>
        <w:t xml:space="preserve">        </w:t>
      </w:r>
      <w:r w:rsidR="00751D9E" w:rsidRPr="001179E5">
        <w:rPr>
          <w:b/>
          <w:sz w:val="28"/>
          <w:szCs w:val="28"/>
        </w:rPr>
        <w:t>Разряд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E0322">
        <w:rPr>
          <w:b/>
          <w:sz w:val="28"/>
          <w:szCs w:val="28"/>
          <w:u w:val="single"/>
        </w:rPr>
        <w:t>3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920C71" w:rsidRDefault="007D6946" w:rsidP="007D6946">
      <w:pPr>
        <w:rPr>
          <w:b/>
          <w:color w:val="FF0000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E0322">
        <w:rPr>
          <w:b/>
          <w:sz w:val="28"/>
          <w:szCs w:val="28"/>
          <w:u w:val="single"/>
        </w:rPr>
        <w:t>15555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6318E" w:rsidRDefault="0046318E" w:rsidP="0046318E"/>
    <w:p w:rsidR="0046318E" w:rsidRDefault="0046318E" w:rsidP="0046318E"/>
    <w:p w:rsidR="0046318E" w:rsidRDefault="0046318E" w:rsidP="0046318E"/>
    <w:p w:rsidR="0046318E" w:rsidRDefault="0046318E" w:rsidP="0046318E"/>
    <w:p w:rsidR="00E4336E" w:rsidRDefault="00E4336E" w:rsidP="0046318E"/>
    <w:p w:rsidR="00E4336E" w:rsidRDefault="00E4336E" w:rsidP="0046318E"/>
    <w:p w:rsidR="00E4336E" w:rsidRDefault="00E4336E" w:rsidP="0046318E"/>
    <w:p w:rsidR="00E4336E" w:rsidRDefault="00E4336E" w:rsidP="0046318E"/>
    <w:p w:rsidR="0046318E" w:rsidRDefault="0046318E" w:rsidP="0046318E"/>
    <w:p w:rsidR="0046318E" w:rsidRPr="0046318E" w:rsidRDefault="0046318E" w:rsidP="0046318E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13EED" w:rsidRPr="00676C95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46318E">
        <w:t>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353134" w:rsidRPr="00280908" w:rsidRDefault="00674FA6" w:rsidP="00353134">
      <w:pPr>
        <w:pStyle w:val="western"/>
        <w:spacing w:after="0"/>
        <w:rPr>
          <w:rFonts w:ascii="Times New Roman" w:hAnsi="Times New Roman"/>
        </w:rPr>
      </w:pPr>
      <w:r w:rsidRPr="00280908">
        <w:rPr>
          <w:rFonts w:ascii="Times New Roman" w:hAnsi="Times New Roman"/>
        </w:rPr>
        <w:t xml:space="preserve">Обучающиеся готовятся к следующему виду деятельности:  </w:t>
      </w:r>
      <w:r w:rsidR="00073C25" w:rsidRPr="00280908">
        <w:rPr>
          <w:rFonts w:ascii="Times New Roman" w:hAnsi="Times New Roman"/>
        </w:rPr>
        <w:t>«</w:t>
      </w:r>
      <w:r w:rsidR="00920C71" w:rsidRPr="00280908">
        <w:rPr>
          <w:rFonts w:ascii="Times New Roman" w:hAnsi="Times New Roman"/>
        </w:rPr>
        <w:t xml:space="preserve">Создание защитных, защитно-декоративных и специальных покрытий </w:t>
      </w:r>
      <w:r w:rsidR="00280908" w:rsidRPr="00280908">
        <w:rPr>
          <w:rFonts w:ascii="Times New Roman" w:hAnsi="Times New Roman"/>
        </w:rPr>
        <w:t>наружных и внутренних поверхностей изделий, деталей на полуавтоматических и конвейерных установках.</w:t>
      </w:r>
      <w:r w:rsidR="00073C25" w:rsidRPr="00280908">
        <w:rPr>
          <w:rFonts w:ascii="Times New Roman" w:hAnsi="Times New Roman"/>
        </w:rPr>
        <w:t>»</w:t>
      </w:r>
    </w:p>
    <w:p w:rsidR="00B45E06" w:rsidRDefault="00B45E06" w:rsidP="00BC762C">
      <w:pPr>
        <w:pStyle w:val="Default"/>
        <w:ind w:left="-426" w:firstLine="426"/>
      </w:pPr>
    </w:p>
    <w:p w:rsidR="00BC762C" w:rsidRDefault="00BC762C" w:rsidP="00995A4C">
      <w:pPr>
        <w:pStyle w:val="Default"/>
        <w:ind w:left="-426" w:firstLine="426"/>
      </w:pPr>
      <w:r>
        <w:t>Программа направлена на освоение следующих профессиональных компетенций</w:t>
      </w:r>
    </w:p>
    <w:p w:rsidR="00280908" w:rsidRPr="00995A4C" w:rsidRDefault="00280908" w:rsidP="00995A4C">
      <w:pPr>
        <w:pStyle w:val="Default"/>
        <w:ind w:left="-426" w:firstLine="426"/>
        <w:rPr>
          <w:b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8A6962" w:rsidTr="008A6962">
        <w:tc>
          <w:tcPr>
            <w:tcW w:w="2660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Умения</w:t>
            </w:r>
          </w:p>
        </w:tc>
        <w:tc>
          <w:tcPr>
            <w:tcW w:w="3685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Знания</w:t>
            </w:r>
          </w:p>
        </w:tc>
      </w:tr>
      <w:tr w:rsidR="00920C71" w:rsidRPr="008A6962" w:rsidTr="008A6962">
        <w:tc>
          <w:tcPr>
            <w:tcW w:w="2660" w:type="dxa"/>
          </w:tcPr>
          <w:p w:rsidR="00920C71" w:rsidRPr="008A6962" w:rsidRDefault="00920C71" w:rsidP="008A6962">
            <w:pPr>
              <w:pStyle w:val="ConsPlusNormal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 xml:space="preserve">1. </w:t>
            </w:r>
            <w:r w:rsidRPr="00A10F28">
              <w:rPr>
                <w:szCs w:val="24"/>
              </w:rPr>
              <w:t xml:space="preserve"> </w:t>
            </w:r>
            <w:r>
              <w:t xml:space="preserve"> </w:t>
            </w:r>
            <w:r w:rsidR="00280908">
              <w:t xml:space="preserve"> Ведение процесса гальванического покрытия наружных и внутренних поверхностей изделий, деталей на полуавтоматических и конвейерных установках.</w:t>
            </w:r>
          </w:p>
        </w:tc>
        <w:tc>
          <w:tcPr>
            <w:tcW w:w="4536" w:type="dxa"/>
          </w:tcPr>
          <w:p w:rsidR="00280908" w:rsidRDefault="00280908" w:rsidP="00280908">
            <w:pPr>
              <w:pStyle w:val="af0"/>
              <w:spacing w:before="0" w:beforeAutospacing="0" w:after="0"/>
            </w:pPr>
            <w:r>
              <w:t>-Ведение компьютерного управления процессом гальванопокрытия изделий и деметаллизации подвесок,</w:t>
            </w:r>
          </w:p>
          <w:p w:rsidR="00280908" w:rsidRDefault="00280908" w:rsidP="00280908">
            <w:pPr>
              <w:pStyle w:val="af0"/>
              <w:spacing w:before="0" w:beforeAutospacing="0" w:after="0"/>
            </w:pPr>
            <w:r>
              <w:t xml:space="preserve">-Установление и поддержание заданных режимов работы ванн. </w:t>
            </w:r>
          </w:p>
          <w:p w:rsidR="00280908" w:rsidRDefault="00280908" w:rsidP="00280908">
            <w:pPr>
              <w:pStyle w:val="af0"/>
              <w:spacing w:before="0" w:beforeAutospacing="0" w:after="0"/>
            </w:pPr>
            <w:r>
              <w:t xml:space="preserve">-Приготовление электролитов и растворов. </w:t>
            </w:r>
          </w:p>
          <w:p w:rsidR="00280908" w:rsidRDefault="00280908" w:rsidP="00280908">
            <w:pPr>
              <w:pStyle w:val="af0"/>
              <w:spacing w:before="0" w:beforeAutospacing="0" w:after="0"/>
            </w:pPr>
            <w:r>
              <w:t xml:space="preserve">-Подготовка деталей и изделий к гальваническому покрытию. </w:t>
            </w:r>
          </w:p>
          <w:p w:rsidR="00280908" w:rsidRDefault="00280908" w:rsidP="00280908">
            <w:pPr>
              <w:pStyle w:val="af0"/>
              <w:spacing w:before="0" w:beforeAutospacing="0" w:after="0"/>
            </w:pPr>
            <w:r>
              <w:t xml:space="preserve">-Загрузка ванн химикатами по установленной рецептуре. </w:t>
            </w:r>
          </w:p>
          <w:p w:rsidR="00280908" w:rsidRDefault="00280908" w:rsidP="00280908">
            <w:pPr>
              <w:pStyle w:val="af0"/>
              <w:spacing w:before="0" w:beforeAutospacing="0" w:after="0"/>
            </w:pPr>
            <w:r>
              <w:t xml:space="preserve">-Подвешивание деталей и изделий на специальные приспособления, загрузка в ванны, снятие их после гальванопокрытия. </w:t>
            </w:r>
          </w:p>
          <w:p w:rsidR="00280908" w:rsidRDefault="00280908" w:rsidP="00280908">
            <w:pPr>
              <w:pStyle w:val="af0"/>
              <w:spacing w:before="0" w:beforeAutospacing="0" w:after="0"/>
            </w:pPr>
            <w:r>
              <w:t>-Подналадка и регулировка обслуживаемого оборудования.</w:t>
            </w:r>
          </w:p>
          <w:p w:rsidR="00280908" w:rsidRDefault="00280908" w:rsidP="00280908">
            <w:pPr>
              <w:rPr>
                <w:sz w:val="24"/>
                <w:szCs w:val="24"/>
              </w:rPr>
            </w:pPr>
            <w:r w:rsidRPr="00264C11"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B83620">
              <w:rPr>
                <w:sz w:val="24"/>
                <w:szCs w:val="24"/>
              </w:rPr>
              <w:t>рименять безопасные приемы труда, основные средства и меры пр</w:t>
            </w:r>
            <w:r>
              <w:rPr>
                <w:sz w:val="24"/>
                <w:szCs w:val="24"/>
              </w:rPr>
              <w:t>едупреждения и тушения пожаров</w:t>
            </w:r>
          </w:p>
          <w:p w:rsidR="00280908" w:rsidRPr="00B83620" w:rsidRDefault="00280908" w:rsidP="00280908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 xml:space="preserve">-Применять  на рабочем месте средства индивидуальной и коллективной защиты; </w:t>
            </w:r>
          </w:p>
          <w:p w:rsidR="00920C71" w:rsidRPr="001179E5" w:rsidRDefault="00920C71" w:rsidP="0028090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280908" w:rsidRDefault="00280908" w:rsidP="00280908">
            <w:pPr>
              <w:pStyle w:val="af0"/>
              <w:spacing w:before="0" w:beforeAutospacing="0" w:after="0"/>
            </w:pPr>
            <w:r>
              <w:t>-Назначение и виды гальванопокрытий.</w:t>
            </w:r>
          </w:p>
          <w:p w:rsidR="00280908" w:rsidRDefault="00280908" w:rsidP="00280908">
            <w:pPr>
              <w:pStyle w:val="af0"/>
              <w:spacing w:before="0" w:beforeAutospacing="0" w:after="0"/>
            </w:pPr>
            <w:r>
              <w:t xml:space="preserve">-Устройство полуавтоматических и конвейерных установок и правила подготовки их к работе; -Основы электротехники и электрохимии в пределах выполняемой работы; </w:t>
            </w:r>
          </w:p>
          <w:p w:rsidR="00280908" w:rsidRDefault="00280908" w:rsidP="00280908">
            <w:pPr>
              <w:pStyle w:val="af0"/>
              <w:spacing w:before="0" w:beforeAutospacing="0" w:after="0"/>
            </w:pPr>
            <w:r>
              <w:t xml:space="preserve">-Особенности подготовительных операций и их последовательность перед покрытием; </w:t>
            </w:r>
          </w:p>
          <w:p w:rsidR="00280908" w:rsidRDefault="00280908" w:rsidP="00280908">
            <w:pPr>
              <w:pStyle w:val="af0"/>
              <w:spacing w:before="0" w:beforeAutospacing="0" w:after="0"/>
            </w:pPr>
            <w:r>
              <w:t xml:space="preserve">-Правила подналадки и регулировки обслуживаемого оборудования; </w:t>
            </w:r>
          </w:p>
          <w:p w:rsidR="00280908" w:rsidRDefault="00280908" w:rsidP="00280908">
            <w:pPr>
              <w:pStyle w:val="af0"/>
              <w:spacing w:before="0" w:beforeAutospacing="0" w:after="0"/>
            </w:pPr>
            <w:r>
              <w:t>-Назначение и условия применения специальных приспособлений и контрольно-измерительных инструментов.</w:t>
            </w:r>
          </w:p>
          <w:p w:rsidR="00280908" w:rsidRDefault="00280908" w:rsidP="00280908">
            <w:pPr>
              <w:pStyle w:val="af0"/>
              <w:spacing w:before="0" w:beforeAutospacing="0" w:after="0"/>
            </w:pPr>
            <w:r>
              <w:t>-Устройство и принцип работы контрольно- измерительных приборов</w:t>
            </w:r>
          </w:p>
          <w:p w:rsidR="00280908" w:rsidRDefault="00280908" w:rsidP="0028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83620">
              <w:rPr>
                <w:sz w:val="24"/>
                <w:szCs w:val="24"/>
              </w:rPr>
              <w:t xml:space="preserve">Виды брака изделий </w:t>
            </w:r>
            <w:r>
              <w:rPr>
                <w:sz w:val="24"/>
                <w:szCs w:val="24"/>
              </w:rPr>
              <w:t>,</w:t>
            </w:r>
          </w:p>
          <w:p w:rsidR="00280908" w:rsidRPr="00B83620" w:rsidRDefault="00280908" w:rsidP="00280908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 xml:space="preserve">--Способы оказания первой помощи пострадавшим при несчастных случаях; </w:t>
            </w:r>
          </w:p>
          <w:p w:rsidR="00280908" w:rsidRPr="00B83620" w:rsidRDefault="00280908" w:rsidP="00280908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 xml:space="preserve">- Способы предупреждения воздействия опасных и вредных производственных факторов; </w:t>
            </w:r>
          </w:p>
          <w:p w:rsidR="00280908" w:rsidRPr="00B83620" w:rsidRDefault="00280908" w:rsidP="00280908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>- Средства индивидуальной и коллективной защиты и порядок их применения;</w:t>
            </w:r>
          </w:p>
          <w:p w:rsidR="00920C71" w:rsidRPr="001179E5" w:rsidRDefault="00920C71" w:rsidP="00280908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</w:tr>
    </w:tbl>
    <w:p w:rsidR="00F44635" w:rsidRDefault="00F44635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46318E" w:rsidRDefault="0046318E" w:rsidP="00512E49">
      <w:pPr>
        <w:pStyle w:val="Default"/>
        <w:jc w:val="center"/>
        <w:rPr>
          <w:b/>
        </w:rPr>
      </w:pPr>
    </w:p>
    <w:p w:rsidR="0046318E" w:rsidRDefault="0046318E" w:rsidP="00512E49">
      <w:pPr>
        <w:pStyle w:val="Default"/>
        <w:jc w:val="center"/>
        <w:rPr>
          <w:b/>
        </w:rPr>
      </w:pPr>
    </w:p>
    <w:p w:rsidR="008A66B2" w:rsidRPr="004F423A" w:rsidRDefault="009819C1" w:rsidP="00512E49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lastRenderedPageBreak/>
        <w:t xml:space="preserve">УЧЕБНЫЙ </w:t>
      </w:r>
      <w:r w:rsidR="008A66B2" w:rsidRPr="00284C6D">
        <w:rPr>
          <w:b/>
        </w:rPr>
        <w:t xml:space="preserve"> ПЛАН</w:t>
      </w:r>
    </w:p>
    <w:p w:rsidR="004F423A" w:rsidRPr="009A46CB" w:rsidRDefault="004F423A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6623"/>
        <w:gridCol w:w="1815"/>
      </w:tblGrid>
      <w:tr w:rsidR="002E3B44" w:rsidTr="008A6962">
        <w:trPr>
          <w:trHeight w:val="775"/>
        </w:trPr>
        <w:tc>
          <w:tcPr>
            <w:tcW w:w="998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 xml:space="preserve">№ </w:t>
            </w:r>
          </w:p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6623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815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E3B44" w:rsidTr="008A6962">
        <w:tc>
          <w:tcPr>
            <w:tcW w:w="998" w:type="dxa"/>
          </w:tcPr>
          <w:p w:rsidR="002E3B44" w:rsidRPr="008A6962" w:rsidRDefault="002E3B44" w:rsidP="008A6962">
            <w:pPr>
              <w:shd w:val="clear" w:color="auto" w:fill="FFFFFF"/>
              <w:ind w:left="331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623" w:type="dxa"/>
          </w:tcPr>
          <w:p w:rsidR="002E3B44" w:rsidRPr="008A6962" w:rsidRDefault="002E3B44" w:rsidP="008A6962">
            <w:pPr>
              <w:shd w:val="clear" w:color="auto" w:fill="FFFFFF"/>
              <w:ind w:left="72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1815" w:type="dxa"/>
          </w:tcPr>
          <w:p w:rsidR="002E3B44" w:rsidRPr="008A6962" w:rsidRDefault="00DF2DB3" w:rsidP="00FC14EE">
            <w:pPr>
              <w:shd w:val="clear" w:color="auto" w:fill="FFFFFF"/>
              <w:ind w:left="682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121</w:t>
            </w:r>
          </w:p>
        </w:tc>
      </w:tr>
      <w:tr w:rsidR="002E3B44" w:rsidTr="008A6962">
        <w:trPr>
          <w:trHeight w:val="585"/>
        </w:trPr>
        <w:tc>
          <w:tcPr>
            <w:tcW w:w="998" w:type="dxa"/>
            <w:tcBorders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1.1.</w:t>
            </w:r>
          </w:p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 w:right="72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1.1.1. 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Экономический курс.</w:t>
            </w:r>
          </w:p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 w:right="6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Экономика отрасли и предприятия. 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E3B44" w:rsidRPr="008A6962" w:rsidRDefault="00524631" w:rsidP="00524631">
            <w:pPr>
              <w:shd w:val="clear" w:color="auto" w:fill="FFFFFF"/>
              <w:spacing w:line="269" w:lineRule="exact"/>
              <w:ind w:right="658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10</w:t>
            </w:r>
          </w:p>
        </w:tc>
      </w:tr>
      <w:tr w:rsidR="002E3B44" w:rsidTr="008A6962">
        <w:trPr>
          <w:trHeight w:val="33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 w:right="72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 w:right="677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Общетехнический   курс.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FC14EE" w:rsidRDefault="00FC14EE" w:rsidP="00524631">
            <w:pPr>
              <w:shd w:val="clear" w:color="auto" w:fill="FFFFFF"/>
              <w:spacing w:line="269" w:lineRule="exact"/>
              <w:ind w:left="686" w:right="658" w:firstLine="10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</w:t>
            </w:r>
          </w:p>
        </w:tc>
      </w:tr>
      <w:tr w:rsidR="002E3B44" w:rsidTr="008A6962">
        <w:trPr>
          <w:trHeight w:val="495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1.2.1.</w:t>
            </w:r>
          </w:p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10"/>
              <w:rPr>
                <w:rFonts w:eastAsia="Calibri"/>
                <w:b/>
                <w:bCs/>
                <w:sz w:val="24"/>
                <w:szCs w:val="24"/>
              </w:rPr>
            </w:pPr>
            <w:r w:rsidRPr="00CC3613">
              <w:rPr>
                <w:rFonts w:eastAsia="Calibri"/>
                <w:spacing w:val="-1"/>
                <w:sz w:val="24"/>
                <w:szCs w:val="24"/>
              </w:rPr>
              <w:t>Охрана тру</w:t>
            </w:r>
            <w:r w:rsidR="00524631">
              <w:rPr>
                <w:rFonts w:eastAsia="Calibri"/>
                <w:spacing w:val="-1"/>
                <w:sz w:val="24"/>
                <w:szCs w:val="24"/>
              </w:rPr>
              <w:t>да и техника безопасности</w:t>
            </w:r>
            <w:r w:rsidR="00144B7E">
              <w:rPr>
                <w:rFonts w:eastAsia="Calibri"/>
                <w:spacing w:val="-1"/>
                <w:sz w:val="24"/>
                <w:szCs w:val="24"/>
              </w:rPr>
              <w:t xml:space="preserve">, </w:t>
            </w:r>
            <w:r w:rsidR="00524631">
              <w:rPr>
                <w:rFonts w:eastAsia="Calibri"/>
                <w:spacing w:val="-1"/>
                <w:sz w:val="24"/>
                <w:szCs w:val="24"/>
              </w:rPr>
              <w:t xml:space="preserve"> пром</w:t>
            </w:r>
            <w:r w:rsidRPr="00CC3613">
              <w:rPr>
                <w:rFonts w:eastAsia="Calibri"/>
                <w:spacing w:val="-1"/>
                <w:sz w:val="24"/>
                <w:szCs w:val="24"/>
              </w:rPr>
              <w:t>санитария и противопожарный режим.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524631" w:rsidP="00524631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</w:t>
            </w:r>
            <w:r w:rsidR="007D57B5" w:rsidRPr="008A6962">
              <w:rPr>
                <w:rFonts w:eastAsia="Calibri"/>
                <w:sz w:val="24"/>
                <w:szCs w:val="24"/>
                <w:lang w:val="en-US"/>
              </w:rPr>
              <w:t>10</w:t>
            </w:r>
          </w:p>
        </w:tc>
      </w:tr>
      <w:tr w:rsidR="002E3B44" w:rsidTr="008A6962">
        <w:trPr>
          <w:trHeight w:val="240"/>
        </w:trPr>
        <w:tc>
          <w:tcPr>
            <w:tcW w:w="998" w:type="dxa"/>
            <w:tcBorders>
              <w:top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bCs/>
                <w:sz w:val="24"/>
                <w:szCs w:val="24"/>
              </w:rPr>
            </w:pPr>
            <w:r w:rsidRPr="008A6962">
              <w:rPr>
                <w:rFonts w:eastAsia="Calibri"/>
                <w:bCs/>
                <w:sz w:val="24"/>
                <w:szCs w:val="24"/>
              </w:rPr>
              <w:t>1.2.2.</w:t>
            </w:r>
          </w:p>
        </w:tc>
        <w:tc>
          <w:tcPr>
            <w:tcW w:w="6623" w:type="dxa"/>
            <w:tcBorders>
              <w:top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10"/>
              <w:rPr>
                <w:rFonts w:eastAsia="Calibri"/>
                <w:b/>
                <w:bCs/>
                <w:sz w:val="24"/>
                <w:szCs w:val="24"/>
              </w:rPr>
            </w:pPr>
            <w:r w:rsidRPr="00CC3613">
              <w:rPr>
                <w:rFonts w:eastAsia="Calibri"/>
                <w:spacing w:val="-1"/>
                <w:sz w:val="24"/>
                <w:szCs w:val="24"/>
              </w:rPr>
              <w:t>Сведения о производстве, профессии</w:t>
            </w:r>
            <w:r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2E3B44" w:rsidRPr="00FC14EE" w:rsidRDefault="00524631" w:rsidP="00FC14EE">
            <w:pPr>
              <w:shd w:val="clear" w:color="auto" w:fill="FFFFFF"/>
              <w:spacing w:line="269" w:lineRule="exact"/>
              <w:ind w:right="65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</w:t>
            </w:r>
            <w:r w:rsidR="00FC14EE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E3B44" w:rsidTr="008A6962">
        <w:tc>
          <w:tcPr>
            <w:tcW w:w="998" w:type="dxa"/>
          </w:tcPr>
          <w:p w:rsidR="002E3B44" w:rsidRPr="008A6962" w:rsidRDefault="002E3B44" w:rsidP="008A6962">
            <w:pPr>
              <w:shd w:val="clear" w:color="auto" w:fill="FFFFFF"/>
              <w:ind w:left="230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6623" w:type="dxa"/>
          </w:tcPr>
          <w:p w:rsidR="002E3B44" w:rsidRPr="008A6962" w:rsidRDefault="00CC3613" w:rsidP="008A6962">
            <w:pPr>
              <w:shd w:val="clear" w:color="auto" w:fill="FFFFFF"/>
              <w:ind w:left="10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b/>
                <w:bCs/>
                <w:sz w:val="24"/>
                <w:szCs w:val="24"/>
              </w:rPr>
              <w:t>Профессиональная подготовка.</w:t>
            </w:r>
          </w:p>
        </w:tc>
        <w:tc>
          <w:tcPr>
            <w:tcW w:w="1815" w:type="dxa"/>
          </w:tcPr>
          <w:p w:rsidR="002E3B44" w:rsidRPr="00524631" w:rsidRDefault="00FC14EE" w:rsidP="00524631">
            <w:pPr>
              <w:shd w:val="clear" w:color="auto" w:fill="FFFFFF"/>
              <w:ind w:left="672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76</w:t>
            </w:r>
          </w:p>
        </w:tc>
      </w:tr>
      <w:tr w:rsidR="002E3B44" w:rsidTr="00CC3613">
        <w:trPr>
          <w:trHeight w:val="341"/>
        </w:trPr>
        <w:tc>
          <w:tcPr>
            <w:tcW w:w="998" w:type="dxa"/>
            <w:tcBorders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1.3.1.</w:t>
            </w:r>
          </w:p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sz w:val="24"/>
                <w:szCs w:val="24"/>
              </w:rPr>
              <w:t>Основные виды гальванических покрытий и их назначение.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E3B44" w:rsidRPr="00524631" w:rsidRDefault="00524631" w:rsidP="00524631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</w:t>
            </w:r>
            <w:r w:rsidR="00FC14EE">
              <w:rPr>
                <w:rFonts w:eastAsia="Calibri"/>
                <w:sz w:val="24"/>
                <w:szCs w:val="24"/>
              </w:rPr>
              <w:t>10</w:t>
            </w:r>
          </w:p>
          <w:p w:rsidR="002E3B44" w:rsidRPr="008A6962" w:rsidRDefault="002E3B44" w:rsidP="00524631">
            <w:pPr>
              <w:shd w:val="clear" w:color="auto" w:fill="FFFFFF"/>
              <w:ind w:left="734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E3B44" w:rsidTr="008A6962">
        <w:trPr>
          <w:trHeight w:val="619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sz w:val="24"/>
                <w:szCs w:val="24"/>
              </w:rPr>
            </w:pPr>
          </w:p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1.3.2. 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sz w:val="24"/>
                <w:szCs w:val="24"/>
              </w:rPr>
              <w:t>Материалы, применяемые для гальванической металлизации.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B44" w:rsidRPr="00524631" w:rsidRDefault="00524631" w:rsidP="00524631">
            <w:pPr>
              <w:shd w:val="clear" w:color="auto" w:fill="FFFFFF"/>
              <w:spacing w:line="274" w:lineRule="exact"/>
              <w:ind w:right="7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10</w:t>
            </w:r>
          </w:p>
        </w:tc>
      </w:tr>
      <w:tr w:rsidR="002E3B44" w:rsidTr="008A6962">
        <w:trPr>
          <w:trHeight w:val="285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1.3.3. 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C3613" w:rsidP="00512E49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sz w:val="24"/>
                <w:szCs w:val="24"/>
              </w:rPr>
              <w:t>Оборудование и приспособления для гальванической металлизаци</w:t>
            </w:r>
            <w:r w:rsidR="00512E49">
              <w:rPr>
                <w:rFonts w:eastAsia="Calibri"/>
                <w:sz w:val="24"/>
                <w:szCs w:val="24"/>
              </w:rPr>
              <w:t>и</w:t>
            </w:r>
            <w:r w:rsidRPr="00CC3613">
              <w:rPr>
                <w:rFonts w:eastAsia="Calibri"/>
                <w:sz w:val="24"/>
                <w:szCs w:val="24"/>
              </w:rPr>
              <w:t>.</w:t>
            </w:r>
            <w:r w:rsidR="00512E49">
              <w:t xml:space="preserve"> </w:t>
            </w:r>
            <w:r w:rsidR="00512E49">
              <w:rPr>
                <w:sz w:val="24"/>
                <w:szCs w:val="24"/>
              </w:rPr>
              <w:t>П</w:t>
            </w:r>
            <w:r w:rsidR="00512E49" w:rsidRPr="00512E49">
              <w:rPr>
                <w:sz w:val="24"/>
                <w:szCs w:val="24"/>
              </w:rPr>
              <w:t>олуавтоматические и конвейерные установки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524631" w:rsidP="00524631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16</w:t>
            </w:r>
          </w:p>
        </w:tc>
      </w:tr>
      <w:tr w:rsidR="002E3B44" w:rsidTr="008A6962">
        <w:trPr>
          <w:trHeight w:val="39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1.3.4.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sz w:val="24"/>
                <w:szCs w:val="24"/>
              </w:rPr>
              <w:t>Средства контроля и измерения, правила пользования и хранения.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524631" w:rsidP="00FC14EE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1</w:t>
            </w:r>
            <w:r w:rsidR="00FC14EE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1.3.5.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spacing w:val="-1"/>
                <w:sz w:val="24"/>
                <w:szCs w:val="24"/>
              </w:rPr>
              <w:t>Технологические процессы нанесения гальванопокрытий.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524631" w:rsidRDefault="00FC14EE" w:rsidP="00524631">
            <w:pPr>
              <w:shd w:val="clear" w:color="auto" w:fill="FFFFFF"/>
              <w:ind w:left="7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CC3613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CC3613" w:rsidRPr="008A6962" w:rsidRDefault="00CC3613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1.3.6.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CC3613" w:rsidRPr="00CC3613" w:rsidRDefault="00CC3613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pacing w:val="-1"/>
                <w:sz w:val="24"/>
                <w:szCs w:val="24"/>
              </w:rPr>
            </w:pPr>
            <w:r w:rsidRPr="00CC3613">
              <w:rPr>
                <w:rFonts w:eastAsia="Calibri"/>
                <w:spacing w:val="-1"/>
                <w:sz w:val="24"/>
                <w:szCs w:val="24"/>
              </w:rPr>
              <w:t>Действия при возникновении нетипичных ситуаций в процессе производства гальванопокрытия изделий.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C3613" w:rsidRPr="00CC3613" w:rsidRDefault="00FC14EE" w:rsidP="00524631">
            <w:pPr>
              <w:shd w:val="clear" w:color="auto" w:fill="FFFFFF"/>
              <w:ind w:left="7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1.4.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Зачет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FC14EE" w:rsidP="00524631">
            <w:pPr>
              <w:shd w:val="clear" w:color="auto" w:fill="FFFFFF"/>
              <w:ind w:left="734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1.5.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7D57B5" w:rsidP="008A6962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r w:rsidR="00CE14B8" w:rsidRPr="008A6962"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1.6.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Итоговая аттестация(экзамен)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7D57B5" w:rsidP="008A6962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r w:rsidR="002E3B44" w:rsidRPr="008A6962"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E14B8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55E89" w:rsidP="00255E89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обучение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FC14EE" w:rsidP="00FC14EE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129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E14B8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8B223F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B223F">
              <w:rPr>
                <w:rFonts w:eastAsia="Calibri"/>
                <w:sz w:val="24"/>
                <w:szCs w:val="24"/>
              </w:rPr>
              <w:t>Инструктаж по ОТ, ознакомление с рабочим местом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653BA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  <w:lang w:val="en-US"/>
              </w:rPr>
            </w:pPr>
            <w:r w:rsidRPr="008A6962">
              <w:rPr>
                <w:rFonts w:eastAsia="Calibri"/>
                <w:sz w:val="24"/>
                <w:szCs w:val="24"/>
                <w:lang w:val="en-US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8B223F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B223F">
              <w:rPr>
                <w:rFonts w:eastAsia="Calibri"/>
                <w:sz w:val="24"/>
                <w:szCs w:val="24"/>
              </w:rPr>
              <w:t>Приобретение навыков выполнения операций монтажа и демонтажа изделий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FC14EE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8B223F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B223F">
              <w:rPr>
                <w:rFonts w:eastAsia="Calibri"/>
                <w:sz w:val="24"/>
                <w:szCs w:val="24"/>
              </w:rPr>
              <w:t>Приобретение навыков поведения визуального контроля продукции с гальванопокрытием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FC14EE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2.4.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8B223F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B223F">
              <w:rPr>
                <w:rFonts w:eastAsia="Calibri"/>
                <w:sz w:val="24"/>
                <w:szCs w:val="24"/>
              </w:rPr>
              <w:t>Освоение калибров. Приобретение навыков работы с калибрами и специальными индикаторами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1179E5" w:rsidP="00524631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524631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CE14B8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2.5.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8B223F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B223F">
              <w:rPr>
                <w:rFonts w:eastAsia="Calibri"/>
                <w:sz w:val="24"/>
                <w:szCs w:val="24"/>
              </w:rPr>
              <w:t>Самостоятельное выполнение работ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524631" w:rsidRDefault="00524631" w:rsidP="00FC14EE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FC14EE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CE14B8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CE14B8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CE14B8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Итого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512E49" w:rsidP="001179E5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250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Pr="00FC14EE" w:rsidRDefault="00884F74" w:rsidP="00884F74">
      <w:pPr>
        <w:rPr>
          <w:sz w:val="24"/>
          <w:szCs w:val="24"/>
        </w:rPr>
      </w:pPr>
      <w:r w:rsidRPr="00FC14EE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44568E" w:rsidRPr="0044568E" w:rsidRDefault="0044568E" w:rsidP="0044568E"/>
    <w:tbl>
      <w:tblPr>
        <w:tblW w:w="10101" w:type="dxa"/>
        <w:tblInd w:w="-252" w:type="dxa"/>
        <w:tblLook w:val="01E0"/>
      </w:tblPr>
      <w:tblGrid>
        <w:gridCol w:w="10101"/>
      </w:tblGrid>
      <w:tr w:rsidR="00943F89" w:rsidRPr="008A6962" w:rsidTr="008A6962">
        <w:trPr>
          <w:trHeight w:val="186"/>
        </w:trPr>
        <w:tc>
          <w:tcPr>
            <w:tcW w:w="10101" w:type="dxa"/>
          </w:tcPr>
          <w:p w:rsidR="003456D0" w:rsidRPr="00524631" w:rsidRDefault="003456D0" w:rsidP="008A6962">
            <w:pPr>
              <w:shd w:val="clear" w:color="auto" w:fill="FFFFFF"/>
              <w:ind w:left="58"/>
              <w:rPr>
                <w:rFonts w:eastAsia="Calibri"/>
                <w:b/>
                <w:bCs/>
                <w:sz w:val="24"/>
                <w:szCs w:val="24"/>
              </w:rPr>
            </w:pPr>
            <w:r w:rsidRPr="00524631">
              <w:rPr>
                <w:rFonts w:eastAsia="Calibri"/>
                <w:b/>
                <w:bCs/>
                <w:sz w:val="24"/>
                <w:szCs w:val="24"/>
              </w:rPr>
              <w:t>1.1.Экономический курс.</w:t>
            </w:r>
          </w:p>
          <w:p w:rsidR="00FC14EE" w:rsidRDefault="00FC14EE" w:rsidP="008A6962">
            <w:pPr>
              <w:shd w:val="clear" w:color="auto" w:fill="FFFFFF"/>
              <w:ind w:left="58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3456D0" w:rsidRPr="00524631" w:rsidRDefault="00FD2BC4" w:rsidP="008A6962">
            <w:pPr>
              <w:shd w:val="clear" w:color="auto" w:fill="FFFFFF"/>
              <w:ind w:left="58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1.1.1</w:t>
            </w:r>
            <w:r w:rsidR="00943F89" w:rsidRPr="00524631">
              <w:rPr>
                <w:rFonts w:eastAsia="Calibri"/>
                <w:b/>
                <w:bCs/>
                <w:sz w:val="24"/>
                <w:szCs w:val="24"/>
              </w:rPr>
              <w:t xml:space="preserve">Экономика отрасли и предприятия. </w:t>
            </w:r>
          </w:p>
          <w:p w:rsidR="00FC14EE" w:rsidRDefault="00FC14EE" w:rsidP="008A6962">
            <w:pPr>
              <w:shd w:val="clear" w:color="auto" w:fill="FFFFFF"/>
              <w:ind w:left="58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943F89" w:rsidRPr="00524631" w:rsidRDefault="00943F89" w:rsidP="008A6962">
            <w:pPr>
              <w:shd w:val="clear" w:color="auto" w:fill="FFFFFF"/>
              <w:ind w:left="58"/>
              <w:rPr>
                <w:rFonts w:eastAsia="Calibri"/>
                <w:sz w:val="24"/>
                <w:szCs w:val="24"/>
              </w:rPr>
            </w:pPr>
            <w:r w:rsidRPr="00524631">
              <w:rPr>
                <w:rFonts w:eastAsia="Calibri"/>
                <w:b/>
                <w:bCs/>
                <w:sz w:val="24"/>
                <w:szCs w:val="24"/>
              </w:rPr>
              <w:t>Экономика и рынок.</w:t>
            </w:r>
          </w:p>
          <w:p w:rsidR="00FC14EE" w:rsidRDefault="00FC14EE" w:rsidP="00E4336E">
            <w:pPr>
              <w:shd w:val="clear" w:color="auto" w:fill="FFFFFF"/>
              <w:rPr>
                <w:rFonts w:eastAsia="Calibri"/>
                <w:b/>
                <w:spacing w:val="-1"/>
                <w:sz w:val="24"/>
                <w:szCs w:val="24"/>
              </w:rPr>
            </w:pPr>
          </w:p>
          <w:p w:rsidR="003456D0" w:rsidRPr="00524631" w:rsidRDefault="003456D0" w:rsidP="008A6962">
            <w:pPr>
              <w:shd w:val="clear" w:color="auto" w:fill="FFFFFF"/>
              <w:ind w:left="29"/>
              <w:rPr>
                <w:rFonts w:eastAsia="Calibri"/>
                <w:spacing w:val="-1"/>
                <w:sz w:val="24"/>
                <w:szCs w:val="24"/>
              </w:rPr>
            </w:pPr>
            <w:r w:rsidRPr="00524631">
              <w:rPr>
                <w:rFonts w:eastAsia="Calibri"/>
                <w:b/>
                <w:spacing w:val="-1"/>
                <w:sz w:val="24"/>
                <w:szCs w:val="24"/>
              </w:rPr>
              <w:t>Экономика предприятия</w:t>
            </w:r>
            <w:r w:rsidRPr="00524631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  <w:p w:rsidR="00FC14EE" w:rsidRDefault="00FC14EE" w:rsidP="008A6962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9020E" w:rsidRPr="00524631" w:rsidRDefault="0009020E" w:rsidP="008A6962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524631">
              <w:rPr>
                <w:rFonts w:eastAsia="Calibri"/>
                <w:b/>
                <w:bCs/>
                <w:sz w:val="24"/>
                <w:szCs w:val="24"/>
              </w:rPr>
              <w:t>Ценообразование.</w:t>
            </w:r>
          </w:p>
          <w:p w:rsidR="0018425D" w:rsidRPr="008A6962" w:rsidRDefault="0018425D" w:rsidP="00E4336E">
            <w:pPr>
              <w:shd w:val="clear" w:color="auto" w:fill="FFFFFF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9020E" w:rsidRPr="00144B7E" w:rsidRDefault="0009020E" w:rsidP="008A6962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144B7E">
              <w:rPr>
                <w:rFonts w:eastAsia="Calibri"/>
                <w:b/>
                <w:bCs/>
                <w:sz w:val="24"/>
                <w:szCs w:val="24"/>
              </w:rPr>
              <w:t>1.2. Общетехнический курс.</w:t>
            </w:r>
          </w:p>
          <w:p w:rsidR="00FC14EE" w:rsidRDefault="00FC14EE" w:rsidP="008E768F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8E768F" w:rsidRPr="008E768F" w:rsidRDefault="008E768F" w:rsidP="008E768F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8E768F">
              <w:rPr>
                <w:rFonts w:eastAsia="Calibri"/>
                <w:b/>
                <w:bCs/>
                <w:sz w:val="24"/>
                <w:szCs w:val="24"/>
              </w:rPr>
              <w:t>1.2.</w:t>
            </w:r>
            <w:r w:rsidR="00144B7E">
              <w:rPr>
                <w:rFonts w:eastAsia="Calibri"/>
                <w:b/>
                <w:bCs/>
                <w:sz w:val="24"/>
                <w:szCs w:val="24"/>
              </w:rPr>
              <w:t>1</w:t>
            </w:r>
            <w:r w:rsidRPr="008E768F">
              <w:rPr>
                <w:rFonts w:eastAsia="Calibri"/>
                <w:b/>
                <w:bCs/>
                <w:sz w:val="24"/>
                <w:szCs w:val="24"/>
              </w:rPr>
              <w:t xml:space="preserve"> Охрана тру</w:t>
            </w:r>
            <w:r w:rsidR="00144B7E">
              <w:rPr>
                <w:rFonts w:eastAsia="Calibri"/>
                <w:b/>
                <w:bCs/>
                <w:sz w:val="24"/>
                <w:szCs w:val="24"/>
              </w:rPr>
              <w:t>да и техника безопасности пром</w:t>
            </w:r>
            <w:r w:rsidRPr="008E768F">
              <w:rPr>
                <w:rFonts w:eastAsia="Calibri"/>
                <w:b/>
                <w:bCs/>
                <w:sz w:val="24"/>
                <w:szCs w:val="24"/>
              </w:rPr>
              <w:t>санитария и противопожарный режим.</w:t>
            </w:r>
          </w:p>
          <w:p w:rsidR="00FC14EE" w:rsidRDefault="00FC14EE" w:rsidP="00144B7E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</w:p>
          <w:p w:rsidR="001502C0" w:rsidRPr="001502C0" w:rsidRDefault="00144B7E" w:rsidP="00144B7E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1.2.2</w:t>
            </w:r>
            <w:r w:rsidR="00FD2BC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502C0" w:rsidRPr="001502C0">
              <w:rPr>
                <w:rFonts w:eastAsia="Calibri"/>
                <w:b/>
                <w:sz w:val="24"/>
                <w:szCs w:val="24"/>
              </w:rPr>
              <w:t>Сведения о производстве, профессии.</w:t>
            </w:r>
          </w:p>
          <w:p w:rsidR="001502C0" w:rsidRPr="008A6962" w:rsidRDefault="001502C0" w:rsidP="00E4336E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943F89" w:rsidRPr="008A6962" w:rsidTr="008A6962">
        <w:trPr>
          <w:trHeight w:val="186"/>
        </w:trPr>
        <w:tc>
          <w:tcPr>
            <w:tcW w:w="10101" w:type="dxa"/>
          </w:tcPr>
          <w:p w:rsidR="00943F89" w:rsidRPr="001502C0" w:rsidRDefault="00943F89" w:rsidP="00144B7E">
            <w:pPr>
              <w:shd w:val="clear" w:color="auto" w:fill="FFFFFF"/>
              <w:ind w:left="5" w:right="106"/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  <w:tr w:rsidR="00144B7E" w:rsidRPr="008A6962" w:rsidTr="008A6962">
        <w:trPr>
          <w:trHeight w:val="186"/>
        </w:trPr>
        <w:tc>
          <w:tcPr>
            <w:tcW w:w="10101" w:type="dxa"/>
          </w:tcPr>
          <w:p w:rsidR="00144B7E" w:rsidRPr="009600E9" w:rsidRDefault="00144B7E" w:rsidP="001E032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1.3. </w:t>
            </w:r>
            <w:r w:rsidR="00FD2BC4">
              <w:rPr>
                <w:rFonts w:eastAsia="Calibri"/>
                <w:b/>
                <w:sz w:val="24"/>
                <w:szCs w:val="24"/>
              </w:rPr>
              <w:t xml:space="preserve">     </w:t>
            </w:r>
            <w:r w:rsidRPr="009600E9">
              <w:rPr>
                <w:rFonts w:eastAsia="Calibri"/>
                <w:b/>
                <w:sz w:val="24"/>
                <w:szCs w:val="24"/>
              </w:rPr>
              <w:t>Профессиональная подготовка.</w:t>
            </w:r>
          </w:p>
          <w:p w:rsidR="00FC14EE" w:rsidRDefault="00FC14EE" w:rsidP="001E0322">
            <w:pPr>
              <w:rPr>
                <w:rFonts w:eastAsia="Calibri"/>
                <w:b/>
                <w:sz w:val="24"/>
                <w:szCs w:val="24"/>
              </w:rPr>
            </w:pPr>
          </w:p>
          <w:p w:rsidR="00144B7E" w:rsidRPr="009600E9" w:rsidRDefault="00144B7E" w:rsidP="001E032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1.3.1</w:t>
            </w:r>
            <w:r w:rsidRPr="009600E9">
              <w:rPr>
                <w:rFonts w:eastAsia="Calibri"/>
                <w:b/>
                <w:sz w:val="24"/>
                <w:szCs w:val="24"/>
              </w:rPr>
              <w:t>Основные виды гальванических покрытий и их назначение.</w:t>
            </w:r>
          </w:p>
          <w:p w:rsidR="00144B7E" w:rsidRPr="009600E9" w:rsidRDefault="00144B7E" w:rsidP="001E032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1.3.2</w:t>
            </w:r>
            <w:r w:rsidRPr="009600E9">
              <w:rPr>
                <w:rFonts w:eastAsia="Calibri"/>
                <w:b/>
                <w:sz w:val="24"/>
                <w:szCs w:val="24"/>
              </w:rPr>
              <w:t>Материалы, применяемые для гальванической металлизации.</w:t>
            </w:r>
          </w:p>
          <w:p w:rsidR="00144B7E" w:rsidRPr="00FC14EE" w:rsidRDefault="00FD2BC4" w:rsidP="001E032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1.3.3</w:t>
            </w:r>
            <w:r w:rsidR="00144B7E" w:rsidRPr="009600E9">
              <w:rPr>
                <w:rFonts w:eastAsia="Calibri"/>
                <w:b/>
                <w:sz w:val="24"/>
                <w:szCs w:val="24"/>
              </w:rPr>
              <w:t xml:space="preserve">Оборудование и приспособления для гальванической </w:t>
            </w:r>
            <w:r w:rsidR="00144B7E">
              <w:rPr>
                <w:rFonts w:eastAsia="Calibri"/>
                <w:b/>
                <w:sz w:val="24"/>
                <w:szCs w:val="24"/>
              </w:rPr>
              <w:t>металлизаци</w:t>
            </w:r>
            <w:r w:rsidR="00FC14EE">
              <w:rPr>
                <w:rFonts w:eastAsia="Calibri"/>
                <w:b/>
                <w:sz w:val="24"/>
                <w:szCs w:val="24"/>
              </w:rPr>
              <w:t>и</w:t>
            </w:r>
            <w:r w:rsidR="00FC14EE">
              <w:rPr>
                <w:sz w:val="24"/>
                <w:szCs w:val="24"/>
              </w:rPr>
              <w:t xml:space="preserve"> </w:t>
            </w:r>
            <w:r w:rsidR="00FC14EE" w:rsidRPr="00FC14EE">
              <w:rPr>
                <w:b/>
                <w:sz w:val="24"/>
                <w:szCs w:val="24"/>
              </w:rPr>
              <w:t>Полуавтоматические и конвейерные установки</w:t>
            </w:r>
          </w:p>
          <w:p w:rsidR="00FC14EE" w:rsidRPr="00E4336E" w:rsidRDefault="00FD2BC4" w:rsidP="001E032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1.3.4</w:t>
            </w:r>
            <w:r w:rsidR="00144B7E" w:rsidRPr="009A171C">
              <w:rPr>
                <w:rFonts w:eastAsia="Calibri"/>
                <w:b/>
                <w:sz w:val="24"/>
                <w:szCs w:val="24"/>
              </w:rPr>
              <w:t>Средства контроля и измерения, правила пользования и хранения</w:t>
            </w:r>
            <w:r w:rsidR="00144B7E">
              <w:rPr>
                <w:rFonts w:eastAsia="Calibri"/>
                <w:sz w:val="24"/>
                <w:szCs w:val="24"/>
              </w:rPr>
              <w:t>.</w:t>
            </w:r>
          </w:p>
          <w:p w:rsidR="00144B7E" w:rsidRPr="009A171C" w:rsidRDefault="00FD2BC4" w:rsidP="001E032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1.3.5</w:t>
            </w:r>
            <w:r w:rsidR="00144B7E" w:rsidRPr="009A171C">
              <w:rPr>
                <w:rFonts w:eastAsia="Calibri"/>
                <w:b/>
                <w:sz w:val="24"/>
                <w:szCs w:val="24"/>
              </w:rPr>
              <w:t>Технологические процессы нанесения гальванопокрытий.</w:t>
            </w:r>
          </w:p>
          <w:p w:rsidR="00144B7E" w:rsidRPr="00E4336E" w:rsidRDefault="00FD2BC4" w:rsidP="001E032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1.3.6</w:t>
            </w:r>
            <w:r w:rsidR="00144B7E" w:rsidRPr="008F7695">
              <w:rPr>
                <w:rFonts w:eastAsia="Calibri"/>
                <w:b/>
                <w:sz w:val="24"/>
                <w:szCs w:val="24"/>
              </w:rPr>
              <w:t>Действия при возникновении нетипичных ситуаций в процессе производства гальванопокрытия изделий</w:t>
            </w:r>
          </w:p>
          <w:p w:rsidR="00144B7E" w:rsidRPr="009A171C" w:rsidRDefault="00144B7E" w:rsidP="001E032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144B7E" w:rsidRPr="001502C0" w:rsidRDefault="00144B7E" w:rsidP="001E0322">
            <w:pPr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</w:tbl>
    <w:p w:rsidR="00FC14EE" w:rsidRDefault="00FC14EE" w:rsidP="00E4336E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F6149B" w:rsidRPr="003456D0" w:rsidRDefault="00F6149B" w:rsidP="00FD2BC4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F6149B" w:rsidRPr="003456D0" w:rsidRDefault="00F6149B" w:rsidP="003456D0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124E1A" w:rsidRPr="003456D0" w:rsidRDefault="00124E1A" w:rsidP="003456D0">
      <w:pPr>
        <w:pStyle w:val="13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9889"/>
      </w:tblGrid>
      <w:tr w:rsidR="00F44635" w:rsidRPr="008A6962" w:rsidTr="008A6962">
        <w:trPr>
          <w:trHeight w:val="420"/>
        </w:trPr>
        <w:tc>
          <w:tcPr>
            <w:tcW w:w="9889" w:type="dxa"/>
          </w:tcPr>
          <w:p w:rsidR="00FC14EE" w:rsidRPr="00E4336E" w:rsidRDefault="00255E89" w:rsidP="00255E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  <w:r w:rsidRPr="00AB3FAD">
              <w:rPr>
                <w:b/>
                <w:sz w:val="24"/>
                <w:szCs w:val="24"/>
              </w:rPr>
              <w:t>Инструктаж по ОТ, ознакомление с рабочим местом.</w:t>
            </w:r>
          </w:p>
          <w:p w:rsidR="00FC14EE" w:rsidRPr="00E4336E" w:rsidRDefault="00B14362" w:rsidP="00B14362">
            <w:pPr>
              <w:tabs>
                <w:tab w:val="left" w:pos="240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2.2</w:t>
            </w:r>
            <w:r w:rsidRPr="0068518B">
              <w:rPr>
                <w:rFonts w:eastAsia="Calibri"/>
                <w:b/>
                <w:sz w:val="24"/>
                <w:szCs w:val="24"/>
              </w:rPr>
              <w:t>Приобретение навыков выполнения операций монтажа и демонтажа изделий.</w:t>
            </w:r>
          </w:p>
          <w:p w:rsidR="00FC14EE" w:rsidRPr="00E4336E" w:rsidRDefault="00B14362" w:rsidP="00B14362">
            <w:pPr>
              <w:tabs>
                <w:tab w:val="left" w:pos="240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2.3</w:t>
            </w:r>
            <w:r w:rsidRPr="0068518B">
              <w:rPr>
                <w:rFonts w:eastAsia="Calibri"/>
                <w:b/>
                <w:sz w:val="24"/>
                <w:szCs w:val="24"/>
              </w:rPr>
              <w:t>Приобретение навыков поведения визуального контроля продукции с гальванопокрытием.</w:t>
            </w:r>
          </w:p>
          <w:p w:rsidR="00F44635" w:rsidRPr="00E4336E" w:rsidRDefault="00B14362" w:rsidP="00E4336E">
            <w:pPr>
              <w:tabs>
                <w:tab w:val="left" w:pos="240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2.4</w:t>
            </w:r>
            <w:r w:rsidRPr="0068518B">
              <w:rPr>
                <w:rFonts w:eastAsia="Calibri"/>
                <w:b/>
                <w:sz w:val="24"/>
                <w:szCs w:val="24"/>
              </w:rPr>
              <w:t>Освоение калибров. Приобретение навыков работы с калибрами и специальными индикаторами.</w:t>
            </w:r>
          </w:p>
        </w:tc>
      </w:tr>
      <w:tr w:rsidR="009F7229" w:rsidRPr="008A6962" w:rsidTr="008A6962">
        <w:trPr>
          <w:trHeight w:val="420"/>
        </w:trPr>
        <w:tc>
          <w:tcPr>
            <w:tcW w:w="9889" w:type="dxa"/>
          </w:tcPr>
          <w:p w:rsidR="009F7229" w:rsidRDefault="009F7229" w:rsidP="001E0322">
            <w:pPr>
              <w:tabs>
                <w:tab w:val="left" w:pos="240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2.5</w:t>
            </w:r>
            <w:r w:rsidRPr="0068518B">
              <w:rPr>
                <w:rFonts w:eastAsia="Calibri"/>
                <w:b/>
                <w:sz w:val="24"/>
                <w:szCs w:val="24"/>
              </w:rPr>
              <w:t xml:space="preserve">Самостоятельное выполнение работ. </w:t>
            </w:r>
          </w:p>
          <w:p w:rsidR="00FC14EE" w:rsidRDefault="00FC14EE" w:rsidP="001E0322">
            <w:pPr>
              <w:tabs>
                <w:tab w:val="left" w:pos="2400"/>
              </w:tabs>
              <w:rPr>
                <w:rFonts w:eastAsia="Calibri"/>
                <w:sz w:val="24"/>
                <w:szCs w:val="24"/>
              </w:rPr>
            </w:pPr>
          </w:p>
          <w:p w:rsidR="009F7229" w:rsidRPr="00F44635" w:rsidRDefault="009F7229" w:rsidP="001E0322">
            <w:pPr>
              <w:snapToGrid w:val="0"/>
              <w:jc w:val="both"/>
              <w:rPr>
                <w:sz w:val="24"/>
              </w:rPr>
            </w:pPr>
          </w:p>
        </w:tc>
      </w:tr>
      <w:tr w:rsidR="009F7229" w:rsidRPr="008A6962" w:rsidTr="008A6962">
        <w:trPr>
          <w:trHeight w:val="420"/>
        </w:trPr>
        <w:tc>
          <w:tcPr>
            <w:tcW w:w="9889" w:type="dxa"/>
          </w:tcPr>
          <w:p w:rsidR="009F7229" w:rsidRPr="009F7229" w:rsidRDefault="009F7229" w:rsidP="00F44635">
            <w:pPr>
              <w:jc w:val="both"/>
              <w:rPr>
                <w:sz w:val="24"/>
              </w:rPr>
            </w:pPr>
          </w:p>
        </w:tc>
      </w:tr>
    </w:tbl>
    <w:p w:rsidR="009F7229" w:rsidRPr="004F1CC6" w:rsidRDefault="009F7229" w:rsidP="00FC14EE">
      <w:pPr>
        <w:jc w:val="both"/>
        <w:rPr>
          <w:sz w:val="24"/>
          <w:szCs w:val="24"/>
        </w:rPr>
      </w:pPr>
    </w:p>
    <w:sectPr w:rsidR="009F7229" w:rsidRPr="004F1CC6" w:rsidSect="00425F6C">
      <w:headerReference w:type="default" r:id="rId8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1FD" w:rsidRDefault="00F111FD">
      <w:r>
        <w:separator/>
      </w:r>
    </w:p>
  </w:endnote>
  <w:endnote w:type="continuationSeparator" w:id="1">
    <w:p w:rsidR="00F111FD" w:rsidRDefault="00F1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1FD" w:rsidRDefault="00F111FD">
      <w:r>
        <w:separator/>
      </w:r>
    </w:p>
  </w:footnote>
  <w:footnote w:type="continuationSeparator" w:id="1">
    <w:p w:rsidR="00F111FD" w:rsidRDefault="00F11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22" w:rsidRDefault="001E0322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1E0322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1E0322" w:rsidRDefault="001E0322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570442" cy="419100"/>
                <wp:effectExtent l="19050" t="19050" r="20108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442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1E0322" w:rsidRDefault="001E0322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1E0322" w:rsidRDefault="001E0322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1E0322" w:rsidRDefault="001E0322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1E0322" w:rsidRDefault="001E0322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1E0322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1E0322" w:rsidRDefault="001E0322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1E0322" w:rsidRDefault="001E0322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1261ED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1261ED">
            <w:rPr>
              <w:sz w:val="18"/>
              <w:szCs w:val="18"/>
            </w:rPr>
            <w:fldChar w:fldCharType="separate"/>
          </w:r>
          <w:r w:rsidR="00E4336E">
            <w:rPr>
              <w:noProof/>
              <w:sz w:val="18"/>
              <w:szCs w:val="18"/>
            </w:rPr>
            <w:t>4</w:t>
          </w:r>
          <w:r w:rsidR="001261ED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917AED">
            <w:t>9</w:t>
          </w:r>
        </w:p>
        <w:p w:rsidR="001E0322" w:rsidRDefault="001E0322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1E0322" w:rsidRDefault="001E032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7104"/>
    <w:multiLevelType w:val="hybridMultilevel"/>
    <w:tmpl w:val="98349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841C2E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2E90900"/>
    <w:multiLevelType w:val="hybridMultilevel"/>
    <w:tmpl w:val="C6A41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>
    <w:nsid w:val="41354D88"/>
    <w:multiLevelType w:val="multilevel"/>
    <w:tmpl w:val="AD16B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E74513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D3727C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68680C"/>
    <w:multiLevelType w:val="hybridMultilevel"/>
    <w:tmpl w:val="2A124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7D3D9C"/>
    <w:multiLevelType w:val="hybridMultilevel"/>
    <w:tmpl w:val="2F0E97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2"/>
  </w:num>
  <w:num w:numId="6">
    <w:abstractNumId w:val="26"/>
  </w:num>
  <w:num w:numId="7">
    <w:abstractNumId w:val="2"/>
  </w:num>
  <w:num w:numId="8">
    <w:abstractNumId w:val="3"/>
  </w:num>
  <w:num w:numId="9">
    <w:abstractNumId w:val="20"/>
  </w:num>
  <w:num w:numId="10">
    <w:abstractNumId w:val="16"/>
  </w:num>
  <w:num w:numId="11">
    <w:abstractNumId w:val="34"/>
  </w:num>
  <w:num w:numId="12">
    <w:abstractNumId w:val="27"/>
  </w:num>
  <w:num w:numId="13">
    <w:abstractNumId w:val="11"/>
  </w:num>
  <w:num w:numId="14">
    <w:abstractNumId w:val="18"/>
  </w:num>
  <w:num w:numId="15">
    <w:abstractNumId w:val="30"/>
  </w:num>
  <w:num w:numId="16">
    <w:abstractNumId w:val="6"/>
  </w:num>
  <w:num w:numId="17">
    <w:abstractNumId w:val="36"/>
  </w:num>
  <w:num w:numId="18">
    <w:abstractNumId w:val="23"/>
  </w:num>
  <w:num w:numId="19">
    <w:abstractNumId w:val="24"/>
  </w:num>
  <w:num w:numId="20">
    <w:abstractNumId w:val="8"/>
  </w:num>
  <w:num w:numId="21">
    <w:abstractNumId w:val="9"/>
  </w:num>
  <w:num w:numId="22">
    <w:abstractNumId w:val="41"/>
  </w:num>
  <w:num w:numId="23">
    <w:abstractNumId w:val="29"/>
  </w:num>
  <w:num w:numId="24">
    <w:abstractNumId w:val="17"/>
  </w:num>
  <w:num w:numId="25">
    <w:abstractNumId w:val="35"/>
  </w:num>
  <w:num w:numId="26">
    <w:abstractNumId w:val="40"/>
  </w:num>
  <w:num w:numId="27">
    <w:abstractNumId w:val="21"/>
  </w:num>
  <w:num w:numId="28">
    <w:abstractNumId w:val="4"/>
  </w:num>
  <w:num w:numId="29">
    <w:abstractNumId w:val="38"/>
  </w:num>
  <w:num w:numId="30">
    <w:abstractNumId w:val="33"/>
  </w:num>
  <w:num w:numId="31">
    <w:abstractNumId w:val="19"/>
  </w:num>
  <w:num w:numId="32">
    <w:abstractNumId w:val="5"/>
  </w:num>
  <w:num w:numId="33">
    <w:abstractNumId w:val="25"/>
  </w:num>
  <w:num w:numId="34">
    <w:abstractNumId w:val="14"/>
  </w:num>
  <w:num w:numId="35">
    <w:abstractNumId w:val="31"/>
  </w:num>
  <w:num w:numId="36">
    <w:abstractNumId w:val="28"/>
  </w:num>
  <w:num w:numId="37">
    <w:abstractNumId w:val="10"/>
  </w:num>
  <w:num w:numId="38">
    <w:abstractNumId w:val="12"/>
  </w:num>
  <w:num w:numId="39">
    <w:abstractNumId w:val="37"/>
  </w:num>
  <w:num w:numId="40">
    <w:abstractNumId w:val="22"/>
  </w:num>
  <w:num w:numId="41">
    <w:abstractNumId w:val="7"/>
  </w:num>
  <w:num w:numId="42">
    <w:abstractNumId w:val="13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225F0"/>
    <w:rsid w:val="000331D6"/>
    <w:rsid w:val="00051316"/>
    <w:rsid w:val="000630E9"/>
    <w:rsid w:val="00073C25"/>
    <w:rsid w:val="0009020E"/>
    <w:rsid w:val="000C2306"/>
    <w:rsid w:val="000C338A"/>
    <w:rsid w:val="000F6F62"/>
    <w:rsid w:val="00101925"/>
    <w:rsid w:val="001179E5"/>
    <w:rsid w:val="00124E1A"/>
    <w:rsid w:val="001261ED"/>
    <w:rsid w:val="0014330C"/>
    <w:rsid w:val="0014464A"/>
    <w:rsid w:val="00144B7E"/>
    <w:rsid w:val="001502C0"/>
    <w:rsid w:val="0018425D"/>
    <w:rsid w:val="001843C2"/>
    <w:rsid w:val="001934D6"/>
    <w:rsid w:val="001A442B"/>
    <w:rsid w:val="001A65F2"/>
    <w:rsid w:val="001E0322"/>
    <w:rsid w:val="001E099B"/>
    <w:rsid w:val="001E4E2B"/>
    <w:rsid w:val="001F2A7C"/>
    <w:rsid w:val="001F4E54"/>
    <w:rsid w:val="00230588"/>
    <w:rsid w:val="00250187"/>
    <w:rsid w:val="00250816"/>
    <w:rsid w:val="00255E89"/>
    <w:rsid w:val="0025662E"/>
    <w:rsid w:val="00280908"/>
    <w:rsid w:val="00284C6D"/>
    <w:rsid w:val="0029712B"/>
    <w:rsid w:val="002E3B44"/>
    <w:rsid w:val="002F1962"/>
    <w:rsid w:val="00307310"/>
    <w:rsid w:val="00310020"/>
    <w:rsid w:val="00310117"/>
    <w:rsid w:val="00314276"/>
    <w:rsid w:val="00331A49"/>
    <w:rsid w:val="003412FD"/>
    <w:rsid w:val="00341404"/>
    <w:rsid w:val="003456D0"/>
    <w:rsid w:val="00353134"/>
    <w:rsid w:val="003A0188"/>
    <w:rsid w:val="003C7AFC"/>
    <w:rsid w:val="003D5EF1"/>
    <w:rsid w:val="003F709E"/>
    <w:rsid w:val="00401CA4"/>
    <w:rsid w:val="00413EED"/>
    <w:rsid w:val="004209BB"/>
    <w:rsid w:val="00421A49"/>
    <w:rsid w:val="00421F95"/>
    <w:rsid w:val="004226CE"/>
    <w:rsid w:val="004244BF"/>
    <w:rsid w:val="00425F6C"/>
    <w:rsid w:val="004360D5"/>
    <w:rsid w:val="00437E58"/>
    <w:rsid w:val="00440A31"/>
    <w:rsid w:val="00441EC8"/>
    <w:rsid w:val="0044568E"/>
    <w:rsid w:val="0045046C"/>
    <w:rsid w:val="00461260"/>
    <w:rsid w:val="0046318E"/>
    <w:rsid w:val="00465CF7"/>
    <w:rsid w:val="00496E44"/>
    <w:rsid w:val="004A0B06"/>
    <w:rsid w:val="004A2B9E"/>
    <w:rsid w:val="004A4457"/>
    <w:rsid w:val="004D3510"/>
    <w:rsid w:val="004D597D"/>
    <w:rsid w:val="004E1749"/>
    <w:rsid w:val="004F1CC6"/>
    <w:rsid w:val="004F423A"/>
    <w:rsid w:val="00510E1D"/>
    <w:rsid w:val="00512E49"/>
    <w:rsid w:val="0051459D"/>
    <w:rsid w:val="00524631"/>
    <w:rsid w:val="00574819"/>
    <w:rsid w:val="00584432"/>
    <w:rsid w:val="00585C51"/>
    <w:rsid w:val="00590CC5"/>
    <w:rsid w:val="005942C0"/>
    <w:rsid w:val="005B6465"/>
    <w:rsid w:val="005C003D"/>
    <w:rsid w:val="005C6BEC"/>
    <w:rsid w:val="005D1B12"/>
    <w:rsid w:val="005D7AE0"/>
    <w:rsid w:val="00610C29"/>
    <w:rsid w:val="00613A54"/>
    <w:rsid w:val="00615ECD"/>
    <w:rsid w:val="00620460"/>
    <w:rsid w:val="0062164F"/>
    <w:rsid w:val="006326E9"/>
    <w:rsid w:val="00632ECC"/>
    <w:rsid w:val="00657225"/>
    <w:rsid w:val="006638D6"/>
    <w:rsid w:val="00671A3F"/>
    <w:rsid w:val="00674FA6"/>
    <w:rsid w:val="00676C95"/>
    <w:rsid w:val="00681899"/>
    <w:rsid w:val="0068518B"/>
    <w:rsid w:val="006953D3"/>
    <w:rsid w:val="006C02E6"/>
    <w:rsid w:val="006D4900"/>
    <w:rsid w:val="006D4FBA"/>
    <w:rsid w:val="006F563A"/>
    <w:rsid w:val="006F7CFE"/>
    <w:rsid w:val="00707BE7"/>
    <w:rsid w:val="00723391"/>
    <w:rsid w:val="00740834"/>
    <w:rsid w:val="00751D9E"/>
    <w:rsid w:val="0076076C"/>
    <w:rsid w:val="00783E17"/>
    <w:rsid w:val="007925AF"/>
    <w:rsid w:val="0079472E"/>
    <w:rsid w:val="0079557D"/>
    <w:rsid w:val="007C036E"/>
    <w:rsid w:val="007D57B5"/>
    <w:rsid w:val="007D5C64"/>
    <w:rsid w:val="007D6946"/>
    <w:rsid w:val="007E1D4B"/>
    <w:rsid w:val="007E767C"/>
    <w:rsid w:val="0081322C"/>
    <w:rsid w:val="008407E9"/>
    <w:rsid w:val="00853E28"/>
    <w:rsid w:val="00856408"/>
    <w:rsid w:val="00861A24"/>
    <w:rsid w:val="00865659"/>
    <w:rsid w:val="008738FD"/>
    <w:rsid w:val="008741C4"/>
    <w:rsid w:val="00882C1F"/>
    <w:rsid w:val="00884F74"/>
    <w:rsid w:val="00886E58"/>
    <w:rsid w:val="008A3F56"/>
    <w:rsid w:val="008A66B2"/>
    <w:rsid w:val="008A6962"/>
    <w:rsid w:val="008B0A70"/>
    <w:rsid w:val="008B223F"/>
    <w:rsid w:val="008B3883"/>
    <w:rsid w:val="008B38B9"/>
    <w:rsid w:val="008C1824"/>
    <w:rsid w:val="008C6B37"/>
    <w:rsid w:val="008D1EEC"/>
    <w:rsid w:val="008D3561"/>
    <w:rsid w:val="008E768F"/>
    <w:rsid w:val="008F7695"/>
    <w:rsid w:val="009013B6"/>
    <w:rsid w:val="00911116"/>
    <w:rsid w:val="00917AED"/>
    <w:rsid w:val="00920C71"/>
    <w:rsid w:val="00924780"/>
    <w:rsid w:val="00925796"/>
    <w:rsid w:val="00933BD5"/>
    <w:rsid w:val="009434BD"/>
    <w:rsid w:val="00943F89"/>
    <w:rsid w:val="009600E9"/>
    <w:rsid w:val="00970FCB"/>
    <w:rsid w:val="00972D5E"/>
    <w:rsid w:val="009754DB"/>
    <w:rsid w:val="009819C1"/>
    <w:rsid w:val="00995A4C"/>
    <w:rsid w:val="009A1186"/>
    <w:rsid w:val="009A171C"/>
    <w:rsid w:val="009A46CB"/>
    <w:rsid w:val="009B0DE7"/>
    <w:rsid w:val="009B4AFB"/>
    <w:rsid w:val="009D1198"/>
    <w:rsid w:val="009D1AB6"/>
    <w:rsid w:val="009D3B40"/>
    <w:rsid w:val="009E56CE"/>
    <w:rsid w:val="009E716C"/>
    <w:rsid w:val="009F7229"/>
    <w:rsid w:val="00A349EC"/>
    <w:rsid w:val="00A36187"/>
    <w:rsid w:val="00A363F7"/>
    <w:rsid w:val="00A415D5"/>
    <w:rsid w:val="00A46C75"/>
    <w:rsid w:val="00A66BAF"/>
    <w:rsid w:val="00A70112"/>
    <w:rsid w:val="00A77892"/>
    <w:rsid w:val="00A92C6F"/>
    <w:rsid w:val="00A96D71"/>
    <w:rsid w:val="00AA6AC7"/>
    <w:rsid w:val="00AB3FAD"/>
    <w:rsid w:val="00AC0578"/>
    <w:rsid w:val="00AC6045"/>
    <w:rsid w:val="00AD4FC4"/>
    <w:rsid w:val="00AE3435"/>
    <w:rsid w:val="00B0139C"/>
    <w:rsid w:val="00B14362"/>
    <w:rsid w:val="00B37500"/>
    <w:rsid w:val="00B4003C"/>
    <w:rsid w:val="00B45E06"/>
    <w:rsid w:val="00B565A0"/>
    <w:rsid w:val="00B649ED"/>
    <w:rsid w:val="00B80F20"/>
    <w:rsid w:val="00B93914"/>
    <w:rsid w:val="00BA51E0"/>
    <w:rsid w:val="00BB2D67"/>
    <w:rsid w:val="00BC4A76"/>
    <w:rsid w:val="00BC762C"/>
    <w:rsid w:val="00BD0768"/>
    <w:rsid w:val="00BD1537"/>
    <w:rsid w:val="00BD70A7"/>
    <w:rsid w:val="00C01308"/>
    <w:rsid w:val="00C26741"/>
    <w:rsid w:val="00C46195"/>
    <w:rsid w:val="00C535CA"/>
    <w:rsid w:val="00C55324"/>
    <w:rsid w:val="00C653BA"/>
    <w:rsid w:val="00C70AE3"/>
    <w:rsid w:val="00C71620"/>
    <w:rsid w:val="00C7374F"/>
    <w:rsid w:val="00CB76BA"/>
    <w:rsid w:val="00CC3613"/>
    <w:rsid w:val="00CD4B86"/>
    <w:rsid w:val="00CE14B8"/>
    <w:rsid w:val="00CE6F47"/>
    <w:rsid w:val="00CF797F"/>
    <w:rsid w:val="00D15F42"/>
    <w:rsid w:val="00D32951"/>
    <w:rsid w:val="00D44BEA"/>
    <w:rsid w:val="00D44EA2"/>
    <w:rsid w:val="00D52B21"/>
    <w:rsid w:val="00D623CD"/>
    <w:rsid w:val="00D71B71"/>
    <w:rsid w:val="00D82C42"/>
    <w:rsid w:val="00DB4E2E"/>
    <w:rsid w:val="00DE147C"/>
    <w:rsid w:val="00DF2DB3"/>
    <w:rsid w:val="00E076E5"/>
    <w:rsid w:val="00E33E50"/>
    <w:rsid w:val="00E37C7C"/>
    <w:rsid w:val="00E4336E"/>
    <w:rsid w:val="00E435AC"/>
    <w:rsid w:val="00E60794"/>
    <w:rsid w:val="00E64277"/>
    <w:rsid w:val="00E70C4B"/>
    <w:rsid w:val="00E75212"/>
    <w:rsid w:val="00E8796A"/>
    <w:rsid w:val="00E93A3A"/>
    <w:rsid w:val="00EA11C4"/>
    <w:rsid w:val="00EA31B9"/>
    <w:rsid w:val="00EB3EBD"/>
    <w:rsid w:val="00ED2AB7"/>
    <w:rsid w:val="00ED359A"/>
    <w:rsid w:val="00EF4F0D"/>
    <w:rsid w:val="00F00D9B"/>
    <w:rsid w:val="00F07CF6"/>
    <w:rsid w:val="00F111FD"/>
    <w:rsid w:val="00F121E5"/>
    <w:rsid w:val="00F40940"/>
    <w:rsid w:val="00F44635"/>
    <w:rsid w:val="00F44EA0"/>
    <w:rsid w:val="00F56DD6"/>
    <w:rsid w:val="00F6149B"/>
    <w:rsid w:val="00F626A4"/>
    <w:rsid w:val="00FC0001"/>
    <w:rsid w:val="00FC14EE"/>
    <w:rsid w:val="00FD2BC4"/>
    <w:rsid w:val="00FD3C6B"/>
    <w:rsid w:val="00FE28AE"/>
    <w:rsid w:val="00FE3817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F7CFE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6F7CF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6F7CFE"/>
  </w:style>
  <w:style w:type="character" w:customStyle="1" w:styleId="WW-Absatz-Standardschriftart">
    <w:name w:val="WW-Absatz-Standardschriftart"/>
    <w:rsid w:val="006F7CFE"/>
  </w:style>
  <w:style w:type="character" w:customStyle="1" w:styleId="WW-Absatz-Standardschriftart1">
    <w:name w:val="WW-Absatz-Standardschriftart1"/>
    <w:rsid w:val="006F7CFE"/>
  </w:style>
  <w:style w:type="character" w:customStyle="1" w:styleId="10">
    <w:name w:val="Основной шрифт абзаца1"/>
    <w:rsid w:val="006F7CFE"/>
  </w:style>
  <w:style w:type="character" w:customStyle="1" w:styleId="a4">
    <w:name w:val="Символ нумерации"/>
    <w:rsid w:val="006F7CFE"/>
  </w:style>
  <w:style w:type="paragraph" w:customStyle="1" w:styleId="a5">
    <w:name w:val="Заголовок"/>
    <w:basedOn w:val="a0"/>
    <w:next w:val="a6"/>
    <w:rsid w:val="006F7C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6F7CFE"/>
    <w:pPr>
      <w:spacing w:after="120"/>
    </w:pPr>
  </w:style>
  <w:style w:type="paragraph" w:styleId="a7">
    <w:name w:val="List"/>
    <w:basedOn w:val="a6"/>
    <w:rsid w:val="006F7CFE"/>
    <w:rPr>
      <w:rFonts w:cs="Mangal"/>
    </w:rPr>
  </w:style>
  <w:style w:type="paragraph" w:styleId="a8">
    <w:name w:val="caption"/>
    <w:basedOn w:val="a0"/>
    <w:qFormat/>
    <w:rsid w:val="006F7C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6F7CFE"/>
    <w:pPr>
      <w:suppressLineNumbers/>
    </w:pPr>
    <w:rPr>
      <w:rFonts w:cs="Mangal"/>
    </w:rPr>
  </w:style>
  <w:style w:type="paragraph" w:styleId="a9">
    <w:name w:val="Body Text Indent"/>
    <w:basedOn w:val="a0"/>
    <w:rsid w:val="006F7CFE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6F7CFE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6F7CFE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6F7CFE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6F7CFE"/>
    <w:pPr>
      <w:suppressLineNumbers/>
    </w:pPr>
  </w:style>
  <w:style w:type="paragraph" w:customStyle="1" w:styleId="ad">
    <w:name w:val="Заголовок таблицы"/>
    <w:basedOn w:val="ac"/>
    <w:rsid w:val="006F7CFE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Balloon Text"/>
    <w:basedOn w:val="a0"/>
    <w:link w:val="af4"/>
    <w:rsid w:val="0034140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341404"/>
    <w:rPr>
      <w:rFonts w:ascii="Tahoma" w:hAnsi="Tahoma" w:cs="Tahoma"/>
      <w:sz w:val="16"/>
      <w:szCs w:val="16"/>
      <w:lang w:eastAsia="zh-CN"/>
    </w:rPr>
  </w:style>
  <w:style w:type="paragraph" w:styleId="af5">
    <w:name w:val="List Paragraph"/>
    <w:basedOn w:val="a0"/>
    <w:uiPriority w:val="34"/>
    <w:qFormat/>
    <w:rsid w:val="00F62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3B96-BBD8-4119-A83A-837FB9D7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Тематический план и программа</vt:lpstr>
      <vt:lpstr/>
      <vt:lpstr/>
      <vt:lpstr/>
      <vt:lpstr>г.Сызрань 2017</vt:lpstr>
      <vt:lpstr>        ТЕОРЕТИЧЕСКОГО ОБУЧЕНИЯ</vt:lpstr>
      <vt:lpstr>        </vt:lpstr>
      <vt:lpstr>        СОДЕРЖАНИЕ ПРОГРАММЫ</vt:lpstr>
      <vt:lpstr>        ПРАКТИЧЕСКОГО ОБУЧЕНИЯ</vt:lpstr>
      <vt:lpstr/>
    </vt:vector>
  </TitlesOfParts>
  <Company>Microsoft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2019-10-08T08:29:00Z</cp:lastPrinted>
  <dcterms:created xsi:type="dcterms:W3CDTF">2025-09-09T06:45:00Z</dcterms:created>
  <dcterms:modified xsi:type="dcterms:W3CDTF">2025-09-09T06:45:00Z</dcterms:modified>
</cp:coreProperties>
</file>